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44932" w14:textId="6A3A98A0" w:rsidR="000367B5" w:rsidRPr="00F71E4C" w:rsidRDefault="000367B5" w:rsidP="00710431">
      <w:pPr>
        <w:rPr>
          <w:b/>
        </w:rPr>
      </w:pPr>
      <w:r w:rsidRPr="00F71E4C">
        <w:rPr>
          <w:b/>
        </w:rPr>
        <w:t xml:space="preserve">Appendix 1: </w:t>
      </w:r>
      <w:r w:rsidR="004102B3">
        <w:rPr>
          <w:b/>
        </w:rPr>
        <w:t>202</w:t>
      </w:r>
      <w:r w:rsidR="00F84FB4">
        <w:rPr>
          <w:b/>
        </w:rPr>
        <w:t>2</w:t>
      </w:r>
      <w:r w:rsidR="004102B3">
        <w:rPr>
          <w:b/>
        </w:rPr>
        <w:t>/202</w:t>
      </w:r>
      <w:r w:rsidR="00F84FB4">
        <w:rPr>
          <w:b/>
        </w:rPr>
        <w:t>3</w:t>
      </w:r>
      <w:r w:rsidR="003C03A2" w:rsidRPr="00F71E4C">
        <w:rPr>
          <w:b/>
        </w:rPr>
        <w:t xml:space="preserve"> </w:t>
      </w:r>
      <w:r w:rsidRPr="00F71E4C">
        <w:rPr>
          <w:b/>
        </w:rPr>
        <w:t>Sea Cucumber by Dive Commercial Harvest Plan</w:t>
      </w:r>
    </w:p>
    <w:p w14:paraId="1908AB3C" w14:textId="77777777" w:rsidR="00AD3E10" w:rsidRPr="00F71E4C" w:rsidRDefault="00AD3E10" w:rsidP="007744E7">
      <w:pPr>
        <w:jc w:val="right"/>
      </w:pPr>
    </w:p>
    <w:p w14:paraId="7C9DDEF0" w14:textId="77777777" w:rsidR="000367B5" w:rsidRPr="00F71E4C" w:rsidRDefault="000367B5" w:rsidP="00216BC0">
      <w:pPr>
        <w:pStyle w:val="TOCtitle"/>
        <w:spacing w:after="0"/>
      </w:pPr>
      <w:r w:rsidRPr="00F71E4C">
        <w:t>TABLE OF CONTENTS</w:t>
      </w:r>
    </w:p>
    <w:p w14:paraId="4F7E8DC9" w14:textId="77777777" w:rsidR="00216BC0" w:rsidRPr="00F71E4C" w:rsidRDefault="00216BC0" w:rsidP="00216BC0"/>
    <w:bookmarkStart w:id="0" w:name="_Toc429207337"/>
    <w:bookmarkStart w:id="1" w:name="_Toc452284364"/>
    <w:bookmarkStart w:id="2" w:name="_Toc429207338"/>
    <w:bookmarkStart w:id="3" w:name="_Toc452284365"/>
    <w:p w14:paraId="514D3953" w14:textId="78A5E852" w:rsidR="007744E7" w:rsidRDefault="00BC3DB9">
      <w:pPr>
        <w:pStyle w:val="TOC1"/>
        <w:rPr>
          <w:rFonts w:asciiTheme="minorHAnsi" w:eastAsiaTheme="minorEastAsia" w:hAnsiTheme="minorHAnsi"/>
          <w:caps w:val="0"/>
          <w:noProof/>
          <w:sz w:val="22"/>
        </w:rPr>
      </w:pPr>
      <w:r w:rsidRPr="00F71E4C">
        <w:fldChar w:fldCharType="begin"/>
      </w:r>
      <w:r w:rsidRPr="00F71E4C">
        <w:instrText xml:space="preserve"> TOC \o "1-2" </w:instrText>
      </w:r>
      <w:r w:rsidRPr="00F71E4C">
        <w:fldChar w:fldCharType="separate"/>
      </w:r>
      <w:r w:rsidR="007744E7">
        <w:rPr>
          <w:noProof/>
        </w:rPr>
        <w:t>1.</w:t>
      </w:r>
      <w:r w:rsidR="007744E7">
        <w:rPr>
          <w:rFonts w:asciiTheme="minorHAnsi" w:eastAsiaTheme="minorEastAsia" w:hAnsiTheme="minorHAnsi"/>
          <w:caps w:val="0"/>
          <w:noProof/>
          <w:sz w:val="22"/>
        </w:rPr>
        <w:tab/>
      </w:r>
      <w:r w:rsidR="007744E7">
        <w:rPr>
          <w:noProof/>
        </w:rPr>
        <w:t>Management SUMMARY for 2022/2023</w:t>
      </w:r>
      <w:r w:rsidR="007744E7">
        <w:rPr>
          <w:noProof/>
        </w:rPr>
        <w:tab/>
      </w:r>
      <w:r w:rsidR="007744E7">
        <w:rPr>
          <w:noProof/>
        </w:rPr>
        <w:fldChar w:fldCharType="begin"/>
      </w:r>
      <w:r w:rsidR="007744E7">
        <w:rPr>
          <w:noProof/>
        </w:rPr>
        <w:instrText xml:space="preserve"> PAGEREF _Toc107404330 \h </w:instrText>
      </w:r>
      <w:r w:rsidR="007744E7">
        <w:rPr>
          <w:noProof/>
        </w:rPr>
      </w:r>
      <w:r w:rsidR="007744E7">
        <w:rPr>
          <w:noProof/>
        </w:rPr>
        <w:fldChar w:fldCharType="separate"/>
      </w:r>
      <w:r w:rsidR="007744E7">
        <w:rPr>
          <w:noProof/>
        </w:rPr>
        <w:t>2</w:t>
      </w:r>
      <w:r w:rsidR="007744E7">
        <w:rPr>
          <w:noProof/>
        </w:rPr>
        <w:fldChar w:fldCharType="end"/>
      </w:r>
    </w:p>
    <w:p w14:paraId="1A9D0703" w14:textId="3991C02F" w:rsidR="007744E7" w:rsidRDefault="007744E7">
      <w:pPr>
        <w:pStyle w:val="TOC1"/>
        <w:rPr>
          <w:rFonts w:asciiTheme="minorHAnsi" w:eastAsiaTheme="minorEastAsia" w:hAnsiTheme="minorHAnsi"/>
          <w:caps w:val="0"/>
          <w:noProof/>
          <w:sz w:val="22"/>
        </w:rPr>
      </w:pPr>
      <w:r>
        <w:rPr>
          <w:noProof/>
        </w:rPr>
        <w:t>2.</w:t>
      </w:r>
      <w:r>
        <w:rPr>
          <w:rFonts w:asciiTheme="minorHAnsi" w:eastAsiaTheme="minorEastAsia" w:hAnsiTheme="minorHAnsi"/>
          <w:caps w:val="0"/>
          <w:noProof/>
          <w:sz w:val="22"/>
        </w:rPr>
        <w:tab/>
      </w:r>
      <w:r>
        <w:rPr>
          <w:noProof/>
        </w:rPr>
        <w:t>LICENSING REQUIREMENTS FOR THE COMMERCIAL FISHERY</w:t>
      </w:r>
      <w:r>
        <w:rPr>
          <w:noProof/>
        </w:rPr>
        <w:tab/>
      </w:r>
      <w:r>
        <w:rPr>
          <w:noProof/>
        </w:rPr>
        <w:fldChar w:fldCharType="begin"/>
      </w:r>
      <w:r>
        <w:rPr>
          <w:noProof/>
        </w:rPr>
        <w:instrText xml:space="preserve"> PAGEREF _Toc107404331 \h </w:instrText>
      </w:r>
      <w:r>
        <w:rPr>
          <w:noProof/>
        </w:rPr>
      </w:r>
      <w:r>
        <w:rPr>
          <w:noProof/>
        </w:rPr>
        <w:fldChar w:fldCharType="separate"/>
      </w:r>
      <w:r>
        <w:rPr>
          <w:noProof/>
        </w:rPr>
        <w:t>3</w:t>
      </w:r>
      <w:r>
        <w:rPr>
          <w:noProof/>
        </w:rPr>
        <w:fldChar w:fldCharType="end"/>
      </w:r>
    </w:p>
    <w:p w14:paraId="1522BA1C" w14:textId="109319C8" w:rsidR="007744E7" w:rsidRDefault="007744E7">
      <w:pPr>
        <w:pStyle w:val="TOC2"/>
        <w:rPr>
          <w:rFonts w:asciiTheme="minorHAnsi" w:eastAsiaTheme="minorEastAsia" w:hAnsiTheme="minorHAnsi"/>
          <w:noProof/>
          <w:sz w:val="22"/>
        </w:rPr>
      </w:pPr>
      <w:r>
        <w:rPr>
          <w:noProof/>
        </w:rPr>
        <w:t>2.1.</w:t>
      </w:r>
      <w:r>
        <w:rPr>
          <w:rFonts w:asciiTheme="minorHAnsi" w:eastAsiaTheme="minorEastAsia" w:hAnsiTheme="minorHAnsi"/>
          <w:noProof/>
          <w:sz w:val="22"/>
        </w:rPr>
        <w:tab/>
      </w:r>
      <w:r>
        <w:rPr>
          <w:noProof/>
        </w:rPr>
        <w:t>National Online Licensing System (NOLS) Client Support – Licensing Services</w:t>
      </w:r>
      <w:r>
        <w:rPr>
          <w:noProof/>
        </w:rPr>
        <w:tab/>
      </w:r>
      <w:r>
        <w:rPr>
          <w:noProof/>
        </w:rPr>
        <w:fldChar w:fldCharType="begin"/>
      </w:r>
      <w:r>
        <w:rPr>
          <w:noProof/>
        </w:rPr>
        <w:instrText xml:space="preserve"> PAGEREF _Toc107404332 \h </w:instrText>
      </w:r>
      <w:r>
        <w:rPr>
          <w:noProof/>
        </w:rPr>
      </w:r>
      <w:r>
        <w:rPr>
          <w:noProof/>
        </w:rPr>
        <w:fldChar w:fldCharType="separate"/>
      </w:r>
      <w:r>
        <w:rPr>
          <w:noProof/>
        </w:rPr>
        <w:t>3</w:t>
      </w:r>
      <w:r>
        <w:rPr>
          <w:noProof/>
        </w:rPr>
        <w:fldChar w:fldCharType="end"/>
      </w:r>
    </w:p>
    <w:p w14:paraId="704A8A9A" w14:textId="50C17B5D" w:rsidR="007744E7" w:rsidRDefault="007744E7">
      <w:pPr>
        <w:pStyle w:val="TOC2"/>
        <w:rPr>
          <w:rFonts w:asciiTheme="minorHAnsi" w:eastAsiaTheme="minorEastAsia" w:hAnsiTheme="minorHAnsi"/>
          <w:noProof/>
          <w:sz w:val="22"/>
        </w:rPr>
      </w:pPr>
      <w:r>
        <w:rPr>
          <w:noProof/>
        </w:rPr>
        <w:t>2.2.</w:t>
      </w:r>
      <w:r>
        <w:rPr>
          <w:rFonts w:asciiTheme="minorHAnsi" w:eastAsiaTheme="minorEastAsia" w:hAnsiTheme="minorHAnsi"/>
          <w:noProof/>
          <w:sz w:val="22"/>
        </w:rPr>
        <w:tab/>
      </w:r>
      <w:r>
        <w:rPr>
          <w:noProof/>
        </w:rPr>
        <w:t>Licence Category</w:t>
      </w:r>
      <w:r>
        <w:rPr>
          <w:noProof/>
        </w:rPr>
        <w:tab/>
      </w:r>
      <w:r>
        <w:rPr>
          <w:noProof/>
        </w:rPr>
        <w:fldChar w:fldCharType="begin"/>
      </w:r>
      <w:r>
        <w:rPr>
          <w:noProof/>
        </w:rPr>
        <w:instrText xml:space="preserve"> PAGEREF _Toc107404333 \h </w:instrText>
      </w:r>
      <w:r>
        <w:rPr>
          <w:noProof/>
        </w:rPr>
      </w:r>
      <w:r>
        <w:rPr>
          <w:noProof/>
        </w:rPr>
        <w:fldChar w:fldCharType="separate"/>
      </w:r>
      <w:r>
        <w:rPr>
          <w:noProof/>
        </w:rPr>
        <w:t>3</w:t>
      </w:r>
      <w:r>
        <w:rPr>
          <w:noProof/>
        </w:rPr>
        <w:fldChar w:fldCharType="end"/>
      </w:r>
    </w:p>
    <w:p w14:paraId="76B42C41" w14:textId="2BAFE15B" w:rsidR="007744E7" w:rsidRDefault="007744E7">
      <w:pPr>
        <w:pStyle w:val="TOC2"/>
        <w:rPr>
          <w:rFonts w:asciiTheme="minorHAnsi" w:eastAsiaTheme="minorEastAsia" w:hAnsiTheme="minorHAnsi"/>
          <w:noProof/>
          <w:sz w:val="22"/>
        </w:rPr>
      </w:pPr>
      <w:r>
        <w:rPr>
          <w:noProof/>
        </w:rPr>
        <w:t>2.3.</w:t>
      </w:r>
      <w:r>
        <w:rPr>
          <w:rFonts w:asciiTheme="minorHAnsi" w:eastAsiaTheme="minorEastAsia" w:hAnsiTheme="minorHAnsi"/>
          <w:noProof/>
          <w:sz w:val="22"/>
        </w:rPr>
        <w:tab/>
      </w:r>
      <w:r>
        <w:rPr>
          <w:noProof/>
        </w:rPr>
        <w:t>Licence Application and Issuance</w:t>
      </w:r>
      <w:r>
        <w:rPr>
          <w:noProof/>
        </w:rPr>
        <w:tab/>
      </w:r>
      <w:r>
        <w:rPr>
          <w:noProof/>
        </w:rPr>
        <w:fldChar w:fldCharType="begin"/>
      </w:r>
      <w:r>
        <w:rPr>
          <w:noProof/>
        </w:rPr>
        <w:instrText xml:space="preserve"> PAGEREF _Toc107404334 \h </w:instrText>
      </w:r>
      <w:r>
        <w:rPr>
          <w:noProof/>
        </w:rPr>
      </w:r>
      <w:r>
        <w:rPr>
          <w:noProof/>
        </w:rPr>
        <w:fldChar w:fldCharType="separate"/>
      </w:r>
      <w:r>
        <w:rPr>
          <w:noProof/>
        </w:rPr>
        <w:t>3</w:t>
      </w:r>
      <w:r>
        <w:rPr>
          <w:noProof/>
        </w:rPr>
        <w:fldChar w:fldCharType="end"/>
      </w:r>
    </w:p>
    <w:p w14:paraId="7912B29F" w14:textId="6173F5B5" w:rsidR="007744E7" w:rsidRDefault="007744E7">
      <w:pPr>
        <w:pStyle w:val="TOC2"/>
        <w:rPr>
          <w:rFonts w:asciiTheme="minorHAnsi" w:eastAsiaTheme="minorEastAsia" w:hAnsiTheme="minorHAnsi"/>
          <w:noProof/>
          <w:sz w:val="22"/>
        </w:rPr>
      </w:pPr>
      <w:r>
        <w:rPr>
          <w:noProof/>
        </w:rPr>
        <w:t>2.4.</w:t>
      </w:r>
      <w:r>
        <w:rPr>
          <w:rFonts w:asciiTheme="minorHAnsi" w:eastAsiaTheme="minorEastAsia" w:hAnsiTheme="minorHAnsi"/>
          <w:noProof/>
          <w:sz w:val="22"/>
        </w:rPr>
        <w:tab/>
      </w:r>
      <w:r>
        <w:rPr>
          <w:noProof/>
        </w:rPr>
        <w:t>Designation of Harvesters to Fish a Communal Commercial Licence</w:t>
      </w:r>
      <w:r>
        <w:rPr>
          <w:noProof/>
        </w:rPr>
        <w:tab/>
      </w:r>
      <w:r>
        <w:rPr>
          <w:noProof/>
        </w:rPr>
        <w:fldChar w:fldCharType="begin"/>
      </w:r>
      <w:r>
        <w:rPr>
          <w:noProof/>
        </w:rPr>
        <w:instrText xml:space="preserve"> PAGEREF _Toc107404335 \h </w:instrText>
      </w:r>
      <w:r>
        <w:rPr>
          <w:noProof/>
        </w:rPr>
      </w:r>
      <w:r>
        <w:rPr>
          <w:noProof/>
        </w:rPr>
        <w:fldChar w:fldCharType="separate"/>
      </w:r>
      <w:r>
        <w:rPr>
          <w:noProof/>
        </w:rPr>
        <w:t>4</w:t>
      </w:r>
      <w:r>
        <w:rPr>
          <w:noProof/>
        </w:rPr>
        <w:fldChar w:fldCharType="end"/>
      </w:r>
    </w:p>
    <w:p w14:paraId="5D5B6516" w14:textId="2FBEEB6D" w:rsidR="007744E7" w:rsidRDefault="007744E7">
      <w:pPr>
        <w:pStyle w:val="TOC2"/>
        <w:rPr>
          <w:rFonts w:asciiTheme="minorHAnsi" w:eastAsiaTheme="minorEastAsia" w:hAnsiTheme="minorHAnsi"/>
          <w:noProof/>
          <w:sz w:val="22"/>
        </w:rPr>
      </w:pPr>
      <w:r>
        <w:rPr>
          <w:noProof/>
        </w:rPr>
        <w:t>2.5.</w:t>
      </w:r>
      <w:r>
        <w:rPr>
          <w:rFonts w:asciiTheme="minorHAnsi" w:eastAsiaTheme="minorEastAsia" w:hAnsiTheme="minorHAnsi"/>
          <w:noProof/>
          <w:sz w:val="22"/>
        </w:rPr>
        <w:tab/>
      </w:r>
      <w:r>
        <w:rPr>
          <w:noProof/>
        </w:rPr>
        <w:t>Individual Quotas (IQ)</w:t>
      </w:r>
      <w:r>
        <w:rPr>
          <w:noProof/>
        </w:rPr>
        <w:tab/>
      </w:r>
      <w:r>
        <w:rPr>
          <w:noProof/>
        </w:rPr>
        <w:fldChar w:fldCharType="begin"/>
      </w:r>
      <w:r>
        <w:rPr>
          <w:noProof/>
        </w:rPr>
        <w:instrText xml:space="preserve"> PAGEREF _Toc107404336 \h </w:instrText>
      </w:r>
      <w:r>
        <w:rPr>
          <w:noProof/>
        </w:rPr>
      </w:r>
      <w:r>
        <w:rPr>
          <w:noProof/>
        </w:rPr>
        <w:fldChar w:fldCharType="separate"/>
      </w:r>
      <w:r>
        <w:rPr>
          <w:noProof/>
        </w:rPr>
        <w:t>4</w:t>
      </w:r>
      <w:r>
        <w:rPr>
          <w:noProof/>
        </w:rPr>
        <w:fldChar w:fldCharType="end"/>
      </w:r>
    </w:p>
    <w:p w14:paraId="1641E96B" w14:textId="351927C7" w:rsidR="007744E7" w:rsidRDefault="007744E7">
      <w:pPr>
        <w:pStyle w:val="TOC2"/>
        <w:rPr>
          <w:rFonts w:asciiTheme="minorHAnsi" w:eastAsiaTheme="minorEastAsia" w:hAnsiTheme="minorHAnsi"/>
          <w:noProof/>
          <w:sz w:val="22"/>
        </w:rPr>
      </w:pPr>
      <w:r>
        <w:rPr>
          <w:noProof/>
        </w:rPr>
        <w:t>2.6.</w:t>
      </w:r>
      <w:r>
        <w:rPr>
          <w:rFonts w:asciiTheme="minorHAnsi" w:eastAsiaTheme="minorEastAsia" w:hAnsiTheme="minorHAnsi"/>
          <w:noProof/>
          <w:sz w:val="22"/>
        </w:rPr>
        <w:tab/>
      </w:r>
      <w:r>
        <w:rPr>
          <w:noProof/>
        </w:rPr>
        <w:t>Area Licensing</w:t>
      </w:r>
      <w:r>
        <w:rPr>
          <w:noProof/>
        </w:rPr>
        <w:tab/>
      </w:r>
      <w:r>
        <w:rPr>
          <w:noProof/>
        </w:rPr>
        <w:fldChar w:fldCharType="begin"/>
      </w:r>
      <w:r>
        <w:rPr>
          <w:noProof/>
        </w:rPr>
        <w:instrText xml:space="preserve"> PAGEREF _Toc107404337 \h </w:instrText>
      </w:r>
      <w:r>
        <w:rPr>
          <w:noProof/>
        </w:rPr>
      </w:r>
      <w:r>
        <w:rPr>
          <w:noProof/>
        </w:rPr>
        <w:fldChar w:fldCharType="separate"/>
      </w:r>
      <w:r>
        <w:rPr>
          <w:noProof/>
        </w:rPr>
        <w:t>5</w:t>
      </w:r>
      <w:r>
        <w:rPr>
          <w:noProof/>
        </w:rPr>
        <w:fldChar w:fldCharType="end"/>
      </w:r>
    </w:p>
    <w:p w14:paraId="79A45AFA" w14:textId="432AA45D" w:rsidR="007744E7" w:rsidRDefault="007744E7">
      <w:pPr>
        <w:pStyle w:val="TOC2"/>
        <w:rPr>
          <w:rFonts w:asciiTheme="minorHAnsi" w:eastAsiaTheme="minorEastAsia" w:hAnsiTheme="minorHAnsi"/>
          <w:noProof/>
          <w:sz w:val="22"/>
        </w:rPr>
      </w:pPr>
      <w:r>
        <w:rPr>
          <w:noProof/>
        </w:rPr>
        <w:t>2.7.</w:t>
      </w:r>
      <w:r>
        <w:rPr>
          <w:rFonts w:asciiTheme="minorHAnsi" w:eastAsiaTheme="minorEastAsia" w:hAnsiTheme="minorHAnsi"/>
          <w:noProof/>
          <w:sz w:val="22"/>
        </w:rPr>
        <w:tab/>
      </w:r>
      <w:r>
        <w:rPr>
          <w:noProof/>
        </w:rPr>
        <w:t>Licence Area Selection</w:t>
      </w:r>
      <w:r>
        <w:rPr>
          <w:noProof/>
        </w:rPr>
        <w:tab/>
      </w:r>
      <w:r>
        <w:rPr>
          <w:noProof/>
        </w:rPr>
        <w:fldChar w:fldCharType="begin"/>
      </w:r>
      <w:r>
        <w:rPr>
          <w:noProof/>
        </w:rPr>
        <w:instrText xml:space="preserve"> PAGEREF _Toc107404338 \h </w:instrText>
      </w:r>
      <w:r>
        <w:rPr>
          <w:noProof/>
        </w:rPr>
      </w:r>
      <w:r>
        <w:rPr>
          <w:noProof/>
        </w:rPr>
        <w:fldChar w:fldCharType="separate"/>
      </w:r>
      <w:r>
        <w:rPr>
          <w:noProof/>
        </w:rPr>
        <w:t>5</w:t>
      </w:r>
      <w:r>
        <w:rPr>
          <w:noProof/>
        </w:rPr>
        <w:fldChar w:fldCharType="end"/>
      </w:r>
    </w:p>
    <w:p w14:paraId="31430FFF" w14:textId="605B3D70" w:rsidR="007744E7" w:rsidRPr="007744E7" w:rsidRDefault="007744E7">
      <w:pPr>
        <w:pStyle w:val="TOC2"/>
        <w:rPr>
          <w:rFonts w:asciiTheme="minorHAnsi" w:eastAsiaTheme="minorEastAsia" w:hAnsiTheme="minorHAnsi"/>
          <w:noProof/>
          <w:sz w:val="22"/>
          <w:lang w:val="fr-FR"/>
        </w:rPr>
      </w:pPr>
      <w:r w:rsidRPr="007744E7">
        <w:rPr>
          <w:noProof/>
          <w:lang w:val="fr-FR"/>
        </w:rPr>
        <w:t>2.8.</w:t>
      </w:r>
      <w:r w:rsidRPr="007744E7">
        <w:rPr>
          <w:rFonts w:asciiTheme="minorHAnsi" w:eastAsiaTheme="minorEastAsia" w:hAnsiTheme="minorHAnsi"/>
          <w:noProof/>
          <w:sz w:val="22"/>
          <w:lang w:val="fr-FR"/>
        </w:rPr>
        <w:tab/>
      </w:r>
      <w:r w:rsidRPr="007744E7">
        <w:rPr>
          <w:noProof/>
          <w:lang w:val="fr-FR"/>
        </w:rPr>
        <w:t>Licence Documents</w:t>
      </w:r>
      <w:r w:rsidRPr="007744E7">
        <w:rPr>
          <w:noProof/>
          <w:lang w:val="fr-FR"/>
        </w:rPr>
        <w:tab/>
      </w:r>
      <w:r>
        <w:rPr>
          <w:noProof/>
        </w:rPr>
        <w:fldChar w:fldCharType="begin"/>
      </w:r>
      <w:r w:rsidRPr="007744E7">
        <w:rPr>
          <w:noProof/>
          <w:lang w:val="fr-FR"/>
        </w:rPr>
        <w:instrText xml:space="preserve"> PAGEREF _Toc107404339 \h </w:instrText>
      </w:r>
      <w:r>
        <w:rPr>
          <w:noProof/>
        </w:rPr>
      </w:r>
      <w:r>
        <w:rPr>
          <w:noProof/>
        </w:rPr>
        <w:fldChar w:fldCharType="separate"/>
      </w:r>
      <w:r w:rsidRPr="007744E7">
        <w:rPr>
          <w:noProof/>
          <w:lang w:val="fr-FR"/>
        </w:rPr>
        <w:t>5</w:t>
      </w:r>
      <w:r>
        <w:rPr>
          <w:noProof/>
        </w:rPr>
        <w:fldChar w:fldCharType="end"/>
      </w:r>
    </w:p>
    <w:p w14:paraId="74C9881E" w14:textId="3C96A5D2" w:rsidR="007744E7" w:rsidRPr="007744E7" w:rsidRDefault="007744E7">
      <w:pPr>
        <w:pStyle w:val="TOC2"/>
        <w:rPr>
          <w:rFonts w:asciiTheme="minorHAnsi" w:eastAsiaTheme="minorEastAsia" w:hAnsiTheme="minorHAnsi"/>
          <w:noProof/>
          <w:sz w:val="22"/>
          <w:lang w:val="fr-FR"/>
        </w:rPr>
      </w:pPr>
      <w:r w:rsidRPr="007744E7">
        <w:rPr>
          <w:noProof/>
          <w:lang w:val="fr-FR"/>
        </w:rPr>
        <w:t>2.9.</w:t>
      </w:r>
      <w:r w:rsidRPr="007744E7">
        <w:rPr>
          <w:rFonts w:asciiTheme="minorHAnsi" w:eastAsiaTheme="minorEastAsia" w:hAnsiTheme="minorHAnsi"/>
          <w:noProof/>
          <w:sz w:val="22"/>
          <w:lang w:val="fr-FR"/>
        </w:rPr>
        <w:tab/>
      </w:r>
      <w:r w:rsidRPr="007744E7">
        <w:rPr>
          <w:noProof/>
          <w:lang w:val="fr-FR"/>
        </w:rPr>
        <w:t>Vessel Re-designation</w:t>
      </w:r>
      <w:r w:rsidRPr="007744E7">
        <w:rPr>
          <w:noProof/>
          <w:lang w:val="fr-FR"/>
        </w:rPr>
        <w:tab/>
      </w:r>
      <w:r>
        <w:rPr>
          <w:noProof/>
        </w:rPr>
        <w:fldChar w:fldCharType="begin"/>
      </w:r>
      <w:r w:rsidRPr="007744E7">
        <w:rPr>
          <w:noProof/>
          <w:lang w:val="fr-FR"/>
        </w:rPr>
        <w:instrText xml:space="preserve"> PAGEREF _Toc107404340 \h </w:instrText>
      </w:r>
      <w:r>
        <w:rPr>
          <w:noProof/>
        </w:rPr>
      </w:r>
      <w:r>
        <w:rPr>
          <w:noProof/>
        </w:rPr>
        <w:fldChar w:fldCharType="separate"/>
      </w:r>
      <w:r w:rsidRPr="007744E7">
        <w:rPr>
          <w:noProof/>
          <w:lang w:val="fr-FR"/>
        </w:rPr>
        <w:t>5</w:t>
      </w:r>
      <w:r>
        <w:rPr>
          <w:noProof/>
        </w:rPr>
        <w:fldChar w:fldCharType="end"/>
      </w:r>
    </w:p>
    <w:p w14:paraId="7277E8F9" w14:textId="6A1981CE" w:rsidR="007744E7" w:rsidRDefault="007744E7">
      <w:pPr>
        <w:pStyle w:val="TOC2"/>
        <w:rPr>
          <w:rFonts w:asciiTheme="minorHAnsi" w:eastAsiaTheme="minorEastAsia" w:hAnsiTheme="minorHAnsi"/>
          <w:noProof/>
          <w:sz w:val="22"/>
        </w:rPr>
      </w:pPr>
      <w:r>
        <w:rPr>
          <w:noProof/>
        </w:rPr>
        <w:t>2.10.</w:t>
      </w:r>
      <w:r>
        <w:rPr>
          <w:rFonts w:asciiTheme="minorHAnsi" w:eastAsiaTheme="minorEastAsia" w:hAnsiTheme="minorHAnsi"/>
          <w:noProof/>
          <w:sz w:val="22"/>
        </w:rPr>
        <w:tab/>
      </w:r>
      <w:r>
        <w:rPr>
          <w:noProof/>
        </w:rPr>
        <w:t>Licence Eligibility Nominations</w:t>
      </w:r>
      <w:r>
        <w:rPr>
          <w:noProof/>
        </w:rPr>
        <w:tab/>
      </w:r>
      <w:r>
        <w:rPr>
          <w:noProof/>
        </w:rPr>
        <w:fldChar w:fldCharType="begin"/>
      </w:r>
      <w:r>
        <w:rPr>
          <w:noProof/>
        </w:rPr>
        <w:instrText xml:space="preserve"> PAGEREF _Toc107404341 \h </w:instrText>
      </w:r>
      <w:r>
        <w:rPr>
          <w:noProof/>
        </w:rPr>
      </w:r>
      <w:r>
        <w:rPr>
          <w:noProof/>
        </w:rPr>
        <w:fldChar w:fldCharType="separate"/>
      </w:r>
      <w:r>
        <w:rPr>
          <w:noProof/>
        </w:rPr>
        <w:t>5</w:t>
      </w:r>
      <w:r>
        <w:rPr>
          <w:noProof/>
        </w:rPr>
        <w:fldChar w:fldCharType="end"/>
      </w:r>
    </w:p>
    <w:p w14:paraId="7D317EE1" w14:textId="6A908E4C" w:rsidR="007744E7" w:rsidRDefault="007744E7">
      <w:pPr>
        <w:pStyle w:val="TOC2"/>
        <w:rPr>
          <w:rFonts w:asciiTheme="minorHAnsi" w:eastAsiaTheme="minorEastAsia" w:hAnsiTheme="minorHAnsi"/>
          <w:noProof/>
          <w:sz w:val="22"/>
        </w:rPr>
      </w:pPr>
      <w:r>
        <w:rPr>
          <w:noProof/>
        </w:rPr>
        <w:t>2.11.</w:t>
      </w:r>
      <w:r>
        <w:rPr>
          <w:rFonts w:asciiTheme="minorHAnsi" w:eastAsiaTheme="minorEastAsia" w:hAnsiTheme="minorHAnsi"/>
          <w:noProof/>
          <w:sz w:val="22"/>
        </w:rPr>
        <w:tab/>
      </w:r>
      <w:r>
        <w:rPr>
          <w:noProof/>
        </w:rPr>
        <w:t>Licence to Transport Sea Cucumbers</w:t>
      </w:r>
      <w:r>
        <w:rPr>
          <w:noProof/>
        </w:rPr>
        <w:tab/>
      </w:r>
      <w:r>
        <w:rPr>
          <w:noProof/>
        </w:rPr>
        <w:fldChar w:fldCharType="begin"/>
      </w:r>
      <w:r>
        <w:rPr>
          <w:noProof/>
        </w:rPr>
        <w:instrText xml:space="preserve"> PAGEREF _Toc107404342 \h </w:instrText>
      </w:r>
      <w:r>
        <w:rPr>
          <w:noProof/>
        </w:rPr>
      </w:r>
      <w:r>
        <w:rPr>
          <w:noProof/>
        </w:rPr>
        <w:fldChar w:fldCharType="separate"/>
      </w:r>
      <w:r>
        <w:rPr>
          <w:noProof/>
        </w:rPr>
        <w:t>6</w:t>
      </w:r>
      <w:r>
        <w:rPr>
          <w:noProof/>
        </w:rPr>
        <w:fldChar w:fldCharType="end"/>
      </w:r>
    </w:p>
    <w:p w14:paraId="6EDD89A0" w14:textId="5F0A54FB" w:rsidR="007744E7" w:rsidRDefault="007744E7">
      <w:pPr>
        <w:pStyle w:val="TOC2"/>
        <w:rPr>
          <w:rFonts w:asciiTheme="minorHAnsi" w:eastAsiaTheme="minorEastAsia" w:hAnsiTheme="minorHAnsi"/>
          <w:noProof/>
          <w:sz w:val="22"/>
        </w:rPr>
      </w:pPr>
      <w:r>
        <w:rPr>
          <w:noProof/>
        </w:rPr>
        <w:t>2.12.</w:t>
      </w:r>
      <w:r>
        <w:rPr>
          <w:rFonts w:asciiTheme="minorHAnsi" w:eastAsiaTheme="minorEastAsia" w:hAnsiTheme="minorHAnsi"/>
          <w:noProof/>
          <w:sz w:val="22"/>
        </w:rPr>
        <w:tab/>
      </w:r>
      <w:r>
        <w:rPr>
          <w:noProof/>
        </w:rPr>
        <w:t>Processing</w:t>
      </w:r>
      <w:r>
        <w:rPr>
          <w:noProof/>
        </w:rPr>
        <w:tab/>
      </w:r>
      <w:r>
        <w:rPr>
          <w:noProof/>
        </w:rPr>
        <w:fldChar w:fldCharType="begin"/>
      </w:r>
      <w:r>
        <w:rPr>
          <w:noProof/>
        </w:rPr>
        <w:instrText xml:space="preserve"> PAGEREF _Toc107404343 \h </w:instrText>
      </w:r>
      <w:r>
        <w:rPr>
          <w:noProof/>
        </w:rPr>
      </w:r>
      <w:r>
        <w:rPr>
          <w:noProof/>
        </w:rPr>
        <w:fldChar w:fldCharType="separate"/>
      </w:r>
      <w:r>
        <w:rPr>
          <w:noProof/>
        </w:rPr>
        <w:t>6</w:t>
      </w:r>
      <w:r>
        <w:rPr>
          <w:noProof/>
        </w:rPr>
        <w:fldChar w:fldCharType="end"/>
      </w:r>
    </w:p>
    <w:p w14:paraId="43F5C41F" w14:textId="27EF2087" w:rsidR="007744E7" w:rsidRDefault="007744E7">
      <w:pPr>
        <w:pStyle w:val="TOC1"/>
        <w:rPr>
          <w:rFonts w:asciiTheme="minorHAnsi" w:eastAsiaTheme="minorEastAsia" w:hAnsiTheme="minorHAnsi"/>
          <w:caps w:val="0"/>
          <w:noProof/>
          <w:sz w:val="22"/>
        </w:rPr>
      </w:pPr>
      <w:r>
        <w:rPr>
          <w:noProof/>
        </w:rPr>
        <w:t>3.</w:t>
      </w:r>
      <w:r>
        <w:rPr>
          <w:rFonts w:asciiTheme="minorHAnsi" w:eastAsiaTheme="minorEastAsia" w:hAnsiTheme="minorHAnsi"/>
          <w:caps w:val="0"/>
          <w:noProof/>
          <w:sz w:val="22"/>
        </w:rPr>
        <w:tab/>
      </w:r>
      <w:r>
        <w:rPr>
          <w:noProof/>
        </w:rPr>
        <w:t>control and monitoring of commercial fishing activities</w:t>
      </w:r>
      <w:r>
        <w:rPr>
          <w:noProof/>
        </w:rPr>
        <w:tab/>
      </w:r>
      <w:r>
        <w:rPr>
          <w:noProof/>
        </w:rPr>
        <w:fldChar w:fldCharType="begin"/>
      </w:r>
      <w:r>
        <w:rPr>
          <w:noProof/>
        </w:rPr>
        <w:instrText xml:space="preserve"> PAGEREF _Toc107404344 \h </w:instrText>
      </w:r>
      <w:r>
        <w:rPr>
          <w:noProof/>
        </w:rPr>
      </w:r>
      <w:r>
        <w:rPr>
          <w:noProof/>
        </w:rPr>
        <w:fldChar w:fldCharType="separate"/>
      </w:r>
      <w:r>
        <w:rPr>
          <w:noProof/>
        </w:rPr>
        <w:t>6</w:t>
      </w:r>
      <w:r>
        <w:rPr>
          <w:noProof/>
        </w:rPr>
        <w:fldChar w:fldCharType="end"/>
      </w:r>
    </w:p>
    <w:p w14:paraId="4671C2FC" w14:textId="5B92CCF3" w:rsidR="007744E7" w:rsidRDefault="007744E7">
      <w:pPr>
        <w:pStyle w:val="TOC2"/>
        <w:rPr>
          <w:rFonts w:asciiTheme="minorHAnsi" w:eastAsiaTheme="minorEastAsia" w:hAnsiTheme="minorHAnsi"/>
          <w:noProof/>
          <w:sz w:val="22"/>
        </w:rPr>
      </w:pPr>
      <w:r>
        <w:rPr>
          <w:noProof/>
        </w:rPr>
        <w:t>3.1.</w:t>
      </w:r>
      <w:r>
        <w:rPr>
          <w:rFonts w:asciiTheme="minorHAnsi" w:eastAsiaTheme="minorEastAsia" w:hAnsiTheme="minorHAnsi"/>
          <w:noProof/>
          <w:sz w:val="22"/>
        </w:rPr>
        <w:tab/>
      </w:r>
      <w:r>
        <w:rPr>
          <w:noProof/>
        </w:rPr>
        <w:t>Quantities Permitted to be Taken (Condition #3)</w:t>
      </w:r>
      <w:r>
        <w:rPr>
          <w:noProof/>
        </w:rPr>
        <w:tab/>
      </w:r>
      <w:r>
        <w:rPr>
          <w:noProof/>
        </w:rPr>
        <w:fldChar w:fldCharType="begin"/>
      </w:r>
      <w:r>
        <w:rPr>
          <w:noProof/>
        </w:rPr>
        <w:instrText xml:space="preserve"> PAGEREF _Toc107404345 \h </w:instrText>
      </w:r>
      <w:r>
        <w:rPr>
          <w:noProof/>
        </w:rPr>
      </w:r>
      <w:r>
        <w:rPr>
          <w:noProof/>
        </w:rPr>
        <w:fldChar w:fldCharType="separate"/>
      </w:r>
      <w:r>
        <w:rPr>
          <w:noProof/>
        </w:rPr>
        <w:t>7</w:t>
      </w:r>
      <w:r>
        <w:rPr>
          <w:noProof/>
        </w:rPr>
        <w:fldChar w:fldCharType="end"/>
      </w:r>
    </w:p>
    <w:p w14:paraId="155222B4" w14:textId="1F98489A" w:rsidR="007744E7" w:rsidRDefault="007744E7">
      <w:pPr>
        <w:pStyle w:val="TOC2"/>
        <w:rPr>
          <w:rFonts w:asciiTheme="minorHAnsi" w:eastAsiaTheme="minorEastAsia" w:hAnsiTheme="minorHAnsi"/>
          <w:noProof/>
          <w:sz w:val="22"/>
        </w:rPr>
      </w:pPr>
      <w:r>
        <w:rPr>
          <w:noProof/>
        </w:rPr>
        <w:t>3.2.</w:t>
      </w:r>
      <w:r>
        <w:rPr>
          <w:rFonts w:asciiTheme="minorHAnsi" w:eastAsiaTheme="minorEastAsia" w:hAnsiTheme="minorHAnsi"/>
          <w:noProof/>
          <w:sz w:val="22"/>
        </w:rPr>
        <w:tab/>
      </w:r>
      <w:r>
        <w:rPr>
          <w:noProof/>
        </w:rPr>
        <w:t>Fishing Multiple Quota Management Areas (Condition #6)</w:t>
      </w:r>
      <w:r>
        <w:rPr>
          <w:noProof/>
        </w:rPr>
        <w:tab/>
      </w:r>
      <w:r>
        <w:rPr>
          <w:noProof/>
        </w:rPr>
        <w:fldChar w:fldCharType="begin"/>
      </w:r>
      <w:r>
        <w:rPr>
          <w:noProof/>
        </w:rPr>
        <w:instrText xml:space="preserve"> PAGEREF _Toc107404346 \h </w:instrText>
      </w:r>
      <w:r>
        <w:rPr>
          <w:noProof/>
        </w:rPr>
      </w:r>
      <w:r>
        <w:rPr>
          <w:noProof/>
        </w:rPr>
        <w:fldChar w:fldCharType="separate"/>
      </w:r>
      <w:r>
        <w:rPr>
          <w:noProof/>
        </w:rPr>
        <w:t>7</w:t>
      </w:r>
      <w:r>
        <w:rPr>
          <w:noProof/>
        </w:rPr>
        <w:fldChar w:fldCharType="end"/>
      </w:r>
    </w:p>
    <w:p w14:paraId="0B0A0F1D" w14:textId="2FAE6668" w:rsidR="007744E7" w:rsidRDefault="007744E7">
      <w:pPr>
        <w:pStyle w:val="TOC2"/>
        <w:rPr>
          <w:rFonts w:asciiTheme="minorHAnsi" w:eastAsiaTheme="minorEastAsia" w:hAnsiTheme="minorHAnsi"/>
          <w:noProof/>
          <w:sz w:val="22"/>
        </w:rPr>
      </w:pPr>
      <w:r>
        <w:rPr>
          <w:noProof/>
        </w:rPr>
        <w:t>3.3.</w:t>
      </w:r>
      <w:r>
        <w:rPr>
          <w:rFonts w:asciiTheme="minorHAnsi" w:eastAsiaTheme="minorEastAsia" w:hAnsiTheme="minorHAnsi"/>
          <w:noProof/>
          <w:sz w:val="22"/>
        </w:rPr>
        <w:tab/>
      </w:r>
      <w:r>
        <w:rPr>
          <w:noProof/>
        </w:rPr>
        <w:t>Containers used to Hold or Transport Sea Cucumbers (Condition #7)</w:t>
      </w:r>
      <w:r>
        <w:rPr>
          <w:noProof/>
        </w:rPr>
        <w:tab/>
      </w:r>
      <w:r>
        <w:rPr>
          <w:noProof/>
        </w:rPr>
        <w:fldChar w:fldCharType="begin"/>
      </w:r>
      <w:r>
        <w:rPr>
          <w:noProof/>
        </w:rPr>
        <w:instrText xml:space="preserve"> PAGEREF _Toc107404347 \h </w:instrText>
      </w:r>
      <w:r>
        <w:rPr>
          <w:noProof/>
        </w:rPr>
      </w:r>
      <w:r>
        <w:rPr>
          <w:noProof/>
        </w:rPr>
        <w:fldChar w:fldCharType="separate"/>
      </w:r>
      <w:r>
        <w:rPr>
          <w:noProof/>
        </w:rPr>
        <w:t>7</w:t>
      </w:r>
      <w:r>
        <w:rPr>
          <w:noProof/>
        </w:rPr>
        <w:fldChar w:fldCharType="end"/>
      </w:r>
    </w:p>
    <w:p w14:paraId="1BF27619" w14:textId="7B4A1D56" w:rsidR="007744E7" w:rsidRDefault="007744E7">
      <w:pPr>
        <w:pStyle w:val="TOC2"/>
        <w:rPr>
          <w:rFonts w:asciiTheme="minorHAnsi" w:eastAsiaTheme="minorEastAsia" w:hAnsiTheme="minorHAnsi"/>
          <w:noProof/>
          <w:sz w:val="22"/>
        </w:rPr>
      </w:pPr>
      <w:r>
        <w:rPr>
          <w:noProof/>
        </w:rPr>
        <w:t>3.4.</w:t>
      </w:r>
      <w:r>
        <w:rPr>
          <w:rFonts w:asciiTheme="minorHAnsi" w:eastAsiaTheme="minorEastAsia" w:hAnsiTheme="minorHAnsi"/>
          <w:noProof/>
          <w:sz w:val="22"/>
        </w:rPr>
        <w:tab/>
      </w:r>
      <w:r>
        <w:rPr>
          <w:noProof/>
        </w:rPr>
        <w:t>Transhipment (Condition #8)</w:t>
      </w:r>
      <w:r>
        <w:rPr>
          <w:noProof/>
        </w:rPr>
        <w:tab/>
      </w:r>
      <w:r>
        <w:rPr>
          <w:noProof/>
        </w:rPr>
        <w:fldChar w:fldCharType="begin"/>
      </w:r>
      <w:r>
        <w:rPr>
          <w:noProof/>
        </w:rPr>
        <w:instrText xml:space="preserve"> PAGEREF _Toc107404348 \h </w:instrText>
      </w:r>
      <w:r>
        <w:rPr>
          <w:noProof/>
        </w:rPr>
      </w:r>
      <w:r>
        <w:rPr>
          <w:noProof/>
        </w:rPr>
        <w:fldChar w:fldCharType="separate"/>
      </w:r>
      <w:r>
        <w:rPr>
          <w:noProof/>
        </w:rPr>
        <w:t>7</w:t>
      </w:r>
      <w:r>
        <w:rPr>
          <w:noProof/>
        </w:rPr>
        <w:fldChar w:fldCharType="end"/>
      </w:r>
    </w:p>
    <w:p w14:paraId="3FA95727" w14:textId="2CE5C339" w:rsidR="007744E7" w:rsidRDefault="007744E7">
      <w:pPr>
        <w:pStyle w:val="TOC2"/>
        <w:rPr>
          <w:rFonts w:asciiTheme="minorHAnsi" w:eastAsiaTheme="minorEastAsia" w:hAnsiTheme="minorHAnsi"/>
          <w:noProof/>
          <w:sz w:val="22"/>
        </w:rPr>
      </w:pPr>
      <w:r>
        <w:rPr>
          <w:noProof/>
        </w:rPr>
        <w:t>3.5.</w:t>
      </w:r>
      <w:r>
        <w:rPr>
          <w:rFonts w:asciiTheme="minorHAnsi" w:eastAsiaTheme="minorEastAsia" w:hAnsiTheme="minorHAnsi"/>
          <w:noProof/>
          <w:sz w:val="22"/>
        </w:rPr>
        <w:tab/>
      </w:r>
      <w:r>
        <w:rPr>
          <w:noProof/>
        </w:rPr>
        <w:t>Locations Permitted for the Landing of Sea Cucumbers (Condition #9)</w:t>
      </w:r>
      <w:r>
        <w:rPr>
          <w:noProof/>
        </w:rPr>
        <w:tab/>
      </w:r>
      <w:r>
        <w:rPr>
          <w:noProof/>
        </w:rPr>
        <w:fldChar w:fldCharType="begin"/>
      </w:r>
      <w:r>
        <w:rPr>
          <w:noProof/>
        </w:rPr>
        <w:instrText xml:space="preserve"> PAGEREF _Toc107404349 \h </w:instrText>
      </w:r>
      <w:r>
        <w:rPr>
          <w:noProof/>
        </w:rPr>
      </w:r>
      <w:r>
        <w:rPr>
          <w:noProof/>
        </w:rPr>
        <w:fldChar w:fldCharType="separate"/>
      </w:r>
      <w:r>
        <w:rPr>
          <w:noProof/>
        </w:rPr>
        <w:t>8</w:t>
      </w:r>
      <w:r>
        <w:rPr>
          <w:noProof/>
        </w:rPr>
        <w:fldChar w:fldCharType="end"/>
      </w:r>
    </w:p>
    <w:p w14:paraId="5E81443D" w14:textId="5CA4EF9C" w:rsidR="007744E7" w:rsidRDefault="007744E7">
      <w:pPr>
        <w:pStyle w:val="TOC2"/>
        <w:rPr>
          <w:rFonts w:asciiTheme="minorHAnsi" w:eastAsiaTheme="minorEastAsia" w:hAnsiTheme="minorHAnsi"/>
          <w:noProof/>
          <w:sz w:val="22"/>
        </w:rPr>
      </w:pPr>
      <w:r>
        <w:rPr>
          <w:noProof/>
        </w:rPr>
        <w:t>3.6.</w:t>
      </w:r>
      <w:r>
        <w:rPr>
          <w:rFonts w:asciiTheme="minorHAnsi" w:eastAsiaTheme="minorEastAsia" w:hAnsiTheme="minorHAnsi"/>
          <w:noProof/>
          <w:sz w:val="22"/>
        </w:rPr>
        <w:tab/>
      </w:r>
      <w:r>
        <w:rPr>
          <w:noProof/>
        </w:rPr>
        <w:t>Validation of Catch (Condition #10)</w:t>
      </w:r>
      <w:r>
        <w:rPr>
          <w:noProof/>
        </w:rPr>
        <w:tab/>
      </w:r>
      <w:r>
        <w:rPr>
          <w:noProof/>
        </w:rPr>
        <w:fldChar w:fldCharType="begin"/>
      </w:r>
      <w:r>
        <w:rPr>
          <w:noProof/>
        </w:rPr>
        <w:instrText xml:space="preserve"> PAGEREF _Toc107404350 \h </w:instrText>
      </w:r>
      <w:r>
        <w:rPr>
          <w:noProof/>
        </w:rPr>
      </w:r>
      <w:r>
        <w:rPr>
          <w:noProof/>
        </w:rPr>
        <w:fldChar w:fldCharType="separate"/>
      </w:r>
      <w:r>
        <w:rPr>
          <w:noProof/>
        </w:rPr>
        <w:t>8</w:t>
      </w:r>
      <w:r>
        <w:rPr>
          <w:noProof/>
        </w:rPr>
        <w:fldChar w:fldCharType="end"/>
      </w:r>
    </w:p>
    <w:p w14:paraId="2023C688" w14:textId="7F4C89A1" w:rsidR="007744E7" w:rsidRDefault="007744E7">
      <w:pPr>
        <w:pStyle w:val="TOC2"/>
        <w:rPr>
          <w:rFonts w:asciiTheme="minorHAnsi" w:eastAsiaTheme="minorEastAsia" w:hAnsiTheme="minorHAnsi"/>
          <w:noProof/>
          <w:sz w:val="22"/>
        </w:rPr>
      </w:pPr>
      <w:r>
        <w:rPr>
          <w:noProof/>
        </w:rPr>
        <w:t>3.7.</w:t>
      </w:r>
      <w:r>
        <w:rPr>
          <w:rFonts w:asciiTheme="minorHAnsi" w:eastAsiaTheme="minorEastAsia" w:hAnsiTheme="minorHAnsi"/>
          <w:noProof/>
          <w:sz w:val="22"/>
        </w:rPr>
        <w:tab/>
      </w:r>
      <w:r>
        <w:rPr>
          <w:noProof/>
        </w:rPr>
        <w:t>Oral Reports (Condition #11)</w:t>
      </w:r>
      <w:r>
        <w:rPr>
          <w:noProof/>
        </w:rPr>
        <w:tab/>
      </w:r>
      <w:r>
        <w:rPr>
          <w:noProof/>
        </w:rPr>
        <w:fldChar w:fldCharType="begin"/>
      </w:r>
      <w:r>
        <w:rPr>
          <w:noProof/>
        </w:rPr>
        <w:instrText xml:space="preserve"> PAGEREF _Toc107404351 \h </w:instrText>
      </w:r>
      <w:r>
        <w:rPr>
          <w:noProof/>
        </w:rPr>
      </w:r>
      <w:r>
        <w:rPr>
          <w:noProof/>
        </w:rPr>
        <w:fldChar w:fldCharType="separate"/>
      </w:r>
      <w:r>
        <w:rPr>
          <w:noProof/>
        </w:rPr>
        <w:t>10</w:t>
      </w:r>
      <w:r>
        <w:rPr>
          <w:noProof/>
        </w:rPr>
        <w:fldChar w:fldCharType="end"/>
      </w:r>
    </w:p>
    <w:p w14:paraId="1784183D" w14:textId="14A74E14" w:rsidR="007744E7" w:rsidRDefault="007744E7">
      <w:pPr>
        <w:pStyle w:val="TOC2"/>
        <w:rPr>
          <w:rFonts w:asciiTheme="minorHAnsi" w:eastAsiaTheme="minorEastAsia" w:hAnsiTheme="minorHAnsi"/>
          <w:noProof/>
          <w:sz w:val="22"/>
        </w:rPr>
      </w:pPr>
      <w:r>
        <w:rPr>
          <w:noProof/>
        </w:rPr>
        <w:t>3.8.</w:t>
      </w:r>
      <w:r>
        <w:rPr>
          <w:rFonts w:asciiTheme="minorHAnsi" w:eastAsiaTheme="minorEastAsia" w:hAnsiTheme="minorHAnsi"/>
          <w:noProof/>
          <w:sz w:val="22"/>
        </w:rPr>
        <w:tab/>
      </w:r>
      <w:r>
        <w:rPr>
          <w:noProof/>
        </w:rPr>
        <w:t>Catch and Fishing Data (Condition #12)</w:t>
      </w:r>
      <w:r>
        <w:rPr>
          <w:noProof/>
        </w:rPr>
        <w:tab/>
      </w:r>
      <w:r>
        <w:rPr>
          <w:noProof/>
        </w:rPr>
        <w:fldChar w:fldCharType="begin"/>
      </w:r>
      <w:r>
        <w:rPr>
          <w:noProof/>
        </w:rPr>
        <w:instrText xml:space="preserve"> PAGEREF _Toc107404352 \h </w:instrText>
      </w:r>
      <w:r>
        <w:rPr>
          <w:noProof/>
        </w:rPr>
      </w:r>
      <w:r>
        <w:rPr>
          <w:noProof/>
        </w:rPr>
        <w:fldChar w:fldCharType="separate"/>
      </w:r>
      <w:r>
        <w:rPr>
          <w:noProof/>
        </w:rPr>
        <w:t>11</w:t>
      </w:r>
      <w:r>
        <w:rPr>
          <w:noProof/>
        </w:rPr>
        <w:fldChar w:fldCharType="end"/>
      </w:r>
    </w:p>
    <w:p w14:paraId="41A2A4EA" w14:textId="5ED70177" w:rsidR="007744E7" w:rsidRDefault="007744E7">
      <w:pPr>
        <w:pStyle w:val="TOC2"/>
        <w:rPr>
          <w:rFonts w:asciiTheme="minorHAnsi" w:eastAsiaTheme="minorEastAsia" w:hAnsiTheme="minorHAnsi"/>
          <w:noProof/>
          <w:sz w:val="22"/>
        </w:rPr>
      </w:pPr>
      <w:r>
        <w:rPr>
          <w:noProof/>
        </w:rPr>
        <w:t>3.9.</w:t>
      </w:r>
      <w:r>
        <w:rPr>
          <w:rFonts w:asciiTheme="minorHAnsi" w:eastAsiaTheme="minorEastAsia" w:hAnsiTheme="minorHAnsi"/>
          <w:noProof/>
          <w:sz w:val="22"/>
        </w:rPr>
        <w:tab/>
      </w:r>
      <w:r>
        <w:rPr>
          <w:noProof/>
        </w:rPr>
        <w:t>Fish Slip Data (Condition #13)</w:t>
      </w:r>
      <w:r>
        <w:rPr>
          <w:noProof/>
        </w:rPr>
        <w:tab/>
      </w:r>
      <w:r>
        <w:rPr>
          <w:noProof/>
        </w:rPr>
        <w:fldChar w:fldCharType="begin"/>
      </w:r>
      <w:r>
        <w:rPr>
          <w:noProof/>
        </w:rPr>
        <w:instrText xml:space="preserve"> PAGEREF _Toc107404353 \h </w:instrText>
      </w:r>
      <w:r>
        <w:rPr>
          <w:noProof/>
        </w:rPr>
      </w:r>
      <w:r>
        <w:rPr>
          <w:noProof/>
        </w:rPr>
        <w:fldChar w:fldCharType="separate"/>
      </w:r>
      <w:r>
        <w:rPr>
          <w:noProof/>
        </w:rPr>
        <w:t>12</w:t>
      </w:r>
      <w:r>
        <w:rPr>
          <w:noProof/>
        </w:rPr>
        <w:fldChar w:fldCharType="end"/>
      </w:r>
    </w:p>
    <w:p w14:paraId="179D8D29" w14:textId="3AEB0313" w:rsidR="007744E7" w:rsidRDefault="007744E7">
      <w:pPr>
        <w:pStyle w:val="TOC2"/>
        <w:rPr>
          <w:rFonts w:asciiTheme="minorHAnsi" w:eastAsiaTheme="minorEastAsia" w:hAnsiTheme="minorHAnsi"/>
          <w:noProof/>
          <w:sz w:val="22"/>
        </w:rPr>
      </w:pPr>
      <w:r>
        <w:rPr>
          <w:noProof/>
        </w:rPr>
        <w:t>3.10.</w:t>
      </w:r>
      <w:r>
        <w:rPr>
          <w:rFonts w:asciiTheme="minorHAnsi" w:eastAsiaTheme="minorEastAsia" w:hAnsiTheme="minorHAnsi"/>
          <w:noProof/>
          <w:sz w:val="22"/>
        </w:rPr>
        <w:tab/>
      </w:r>
      <w:r>
        <w:rPr>
          <w:noProof/>
        </w:rPr>
        <w:t>Export Requirements</w:t>
      </w:r>
      <w:r>
        <w:rPr>
          <w:noProof/>
        </w:rPr>
        <w:tab/>
      </w:r>
      <w:r>
        <w:rPr>
          <w:noProof/>
        </w:rPr>
        <w:fldChar w:fldCharType="begin"/>
      </w:r>
      <w:r>
        <w:rPr>
          <w:noProof/>
        </w:rPr>
        <w:instrText xml:space="preserve"> PAGEREF _Toc107404354 \h </w:instrText>
      </w:r>
      <w:r>
        <w:rPr>
          <w:noProof/>
        </w:rPr>
      </w:r>
      <w:r>
        <w:rPr>
          <w:noProof/>
        </w:rPr>
        <w:fldChar w:fldCharType="separate"/>
      </w:r>
      <w:r>
        <w:rPr>
          <w:noProof/>
        </w:rPr>
        <w:t>12</w:t>
      </w:r>
      <w:r>
        <w:rPr>
          <w:noProof/>
        </w:rPr>
        <w:fldChar w:fldCharType="end"/>
      </w:r>
    </w:p>
    <w:p w14:paraId="123D23CE" w14:textId="3D0CE7A4" w:rsidR="007744E7" w:rsidRDefault="007744E7">
      <w:pPr>
        <w:pStyle w:val="TOC1"/>
        <w:rPr>
          <w:rFonts w:asciiTheme="minorHAnsi" w:eastAsiaTheme="minorEastAsia" w:hAnsiTheme="minorHAnsi"/>
          <w:caps w:val="0"/>
          <w:noProof/>
          <w:sz w:val="22"/>
        </w:rPr>
      </w:pPr>
      <w:r>
        <w:rPr>
          <w:noProof/>
        </w:rPr>
        <w:t>4.</w:t>
      </w:r>
      <w:r>
        <w:rPr>
          <w:rFonts w:asciiTheme="minorHAnsi" w:eastAsiaTheme="minorEastAsia" w:hAnsiTheme="minorHAnsi"/>
          <w:caps w:val="0"/>
          <w:noProof/>
          <w:sz w:val="22"/>
        </w:rPr>
        <w:tab/>
      </w:r>
      <w:r>
        <w:rPr>
          <w:noProof/>
        </w:rPr>
        <w:t>open times AND quota management areas</w:t>
      </w:r>
      <w:r>
        <w:rPr>
          <w:noProof/>
        </w:rPr>
        <w:tab/>
      </w:r>
      <w:r>
        <w:rPr>
          <w:noProof/>
        </w:rPr>
        <w:fldChar w:fldCharType="begin"/>
      </w:r>
      <w:r>
        <w:rPr>
          <w:noProof/>
        </w:rPr>
        <w:instrText xml:space="preserve"> PAGEREF _Toc107404355 \h </w:instrText>
      </w:r>
      <w:r>
        <w:rPr>
          <w:noProof/>
        </w:rPr>
      </w:r>
      <w:r>
        <w:rPr>
          <w:noProof/>
        </w:rPr>
        <w:fldChar w:fldCharType="separate"/>
      </w:r>
      <w:r>
        <w:rPr>
          <w:noProof/>
        </w:rPr>
        <w:t>13</w:t>
      </w:r>
      <w:r>
        <w:rPr>
          <w:noProof/>
        </w:rPr>
        <w:fldChar w:fldCharType="end"/>
      </w:r>
    </w:p>
    <w:p w14:paraId="4E935B5E" w14:textId="5BC6D3CF" w:rsidR="007744E7" w:rsidRDefault="007744E7">
      <w:pPr>
        <w:pStyle w:val="TOC2"/>
        <w:rPr>
          <w:rFonts w:asciiTheme="minorHAnsi" w:eastAsiaTheme="minorEastAsia" w:hAnsiTheme="minorHAnsi"/>
          <w:noProof/>
          <w:sz w:val="22"/>
        </w:rPr>
      </w:pPr>
      <w:r>
        <w:rPr>
          <w:noProof/>
        </w:rPr>
        <w:t>4.1.</w:t>
      </w:r>
      <w:r>
        <w:rPr>
          <w:rFonts w:asciiTheme="minorHAnsi" w:eastAsiaTheme="minorEastAsia" w:hAnsiTheme="minorHAnsi"/>
          <w:noProof/>
          <w:sz w:val="22"/>
        </w:rPr>
        <w:tab/>
      </w:r>
      <w:r>
        <w:rPr>
          <w:noProof/>
        </w:rPr>
        <w:t>General Information</w:t>
      </w:r>
      <w:r>
        <w:rPr>
          <w:noProof/>
        </w:rPr>
        <w:tab/>
      </w:r>
      <w:r>
        <w:rPr>
          <w:noProof/>
        </w:rPr>
        <w:fldChar w:fldCharType="begin"/>
      </w:r>
      <w:r>
        <w:rPr>
          <w:noProof/>
        </w:rPr>
        <w:instrText xml:space="preserve"> PAGEREF _Toc107404356 \h </w:instrText>
      </w:r>
      <w:r>
        <w:rPr>
          <w:noProof/>
        </w:rPr>
      </w:r>
      <w:r>
        <w:rPr>
          <w:noProof/>
        </w:rPr>
        <w:fldChar w:fldCharType="separate"/>
      </w:r>
      <w:r>
        <w:rPr>
          <w:noProof/>
        </w:rPr>
        <w:t>13</w:t>
      </w:r>
      <w:r>
        <w:rPr>
          <w:noProof/>
        </w:rPr>
        <w:fldChar w:fldCharType="end"/>
      </w:r>
    </w:p>
    <w:p w14:paraId="06251492" w14:textId="59A05B6F" w:rsidR="007744E7" w:rsidRDefault="007744E7">
      <w:pPr>
        <w:pStyle w:val="TOC2"/>
        <w:rPr>
          <w:rFonts w:asciiTheme="minorHAnsi" w:eastAsiaTheme="minorEastAsia" w:hAnsiTheme="minorHAnsi"/>
          <w:noProof/>
          <w:sz w:val="22"/>
        </w:rPr>
      </w:pPr>
      <w:r>
        <w:rPr>
          <w:noProof/>
        </w:rPr>
        <w:t>4.2.</w:t>
      </w:r>
      <w:r>
        <w:rPr>
          <w:rFonts w:asciiTheme="minorHAnsi" w:eastAsiaTheme="minorEastAsia" w:hAnsiTheme="minorHAnsi"/>
          <w:noProof/>
          <w:sz w:val="22"/>
        </w:rPr>
        <w:tab/>
      </w:r>
      <w:r>
        <w:rPr>
          <w:noProof/>
        </w:rPr>
        <w:t>Quota Management Area Table</w:t>
      </w:r>
      <w:r>
        <w:rPr>
          <w:noProof/>
        </w:rPr>
        <w:tab/>
      </w:r>
      <w:r>
        <w:rPr>
          <w:noProof/>
        </w:rPr>
        <w:fldChar w:fldCharType="begin"/>
      </w:r>
      <w:r>
        <w:rPr>
          <w:noProof/>
        </w:rPr>
        <w:instrText xml:space="preserve"> PAGEREF _Toc107404357 \h </w:instrText>
      </w:r>
      <w:r>
        <w:rPr>
          <w:noProof/>
        </w:rPr>
      </w:r>
      <w:r>
        <w:rPr>
          <w:noProof/>
        </w:rPr>
        <w:fldChar w:fldCharType="separate"/>
      </w:r>
      <w:r>
        <w:rPr>
          <w:noProof/>
        </w:rPr>
        <w:t>13</w:t>
      </w:r>
      <w:r>
        <w:rPr>
          <w:noProof/>
        </w:rPr>
        <w:fldChar w:fldCharType="end"/>
      </w:r>
    </w:p>
    <w:p w14:paraId="5792DC56" w14:textId="0F0C565C" w:rsidR="007744E7" w:rsidRDefault="007744E7">
      <w:pPr>
        <w:pStyle w:val="TOC2"/>
        <w:rPr>
          <w:rFonts w:asciiTheme="minorHAnsi" w:eastAsiaTheme="minorEastAsia" w:hAnsiTheme="minorHAnsi"/>
          <w:noProof/>
          <w:sz w:val="22"/>
        </w:rPr>
      </w:pPr>
      <w:r>
        <w:rPr>
          <w:noProof/>
        </w:rPr>
        <w:t>4.3.</w:t>
      </w:r>
      <w:r>
        <w:rPr>
          <w:rFonts w:asciiTheme="minorHAnsi" w:eastAsiaTheme="minorEastAsia" w:hAnsiTheme="minorHAnsi"/>
          <w:noProof/>
          <w:sz w:val="22"/>
        </w:rPr>
        <w:tab/>
      </w:r>
      <w:r>
        <w:rPr>
          <w:noProof/>
        </w:rPr>
        <w:t>Fallback Quota</w:t>
      </w:r>
      <w:r>
        <w:rPr>
          <w:noProof/>
        </w:rPr>
        <w:tab/>
      </w:r>
      <w:r>
        <w:rPr>
          <w:noProof/>
        </w:rPr>
        <w:fldChar w:fldCharType="begin"/>
      </w:r>
      <w:r>
        <w:rPr>
          <w:noProof/>
        </w:rPr>
        <w:instrText xml:space="preserve"> PAGEREF _Toc107404358 \h </w:instrText>
      </w:r>
      <w:r>
        <w:rPr>
          <w:noProof/>
        </w:rPr>
      </w:r>
      <w:r>
        <w:rPr>
          <w:noProof/>
        </w:rPr>
        <w:fldChar w:fldCharType="separate"/>
      </w:r>
      <w:r>
        <w:rPr>
          <w:noProof/>
        </w:rPr>
        <w:t>16</w:t>
      </w:r>
      <w:r>
        <w:rPr>
          <w:noProof/>
        </w:rPr>
        <w:fldChar w:fldCharType="end"/>
      </w:r>
    </w:p>
    <w:p w14:paraId="381BAB08" w14:textId="299FDF3F" w:rsidR="007744E7" w:rsidRDefault="007744E7">
      <w:pPr>
        <w:pStyle w:val="TOC2"/>
        <w:rPr>
          <w:rFonts w:asciiTheme="minorHAnsi" w:eastAsiaTheme="minorEastAsia" w:hAnsiTheme="minorHAnsi"/>
          <w:noProof/>
          <w:sz w:val="22"/>
        </w:rPr>
      </w:pPr>
      <w:r>
        <w:rPr>
          <w:noProof/>
        </w:rPr>
        <w:t>4.4.</w:t>
      </w:r>
      <w:r>
        <w:rPr>
          <w:rFonts w:asciiTheme="minorHAnsi" w:eastAsiaTheme="minorEastAsia" w:hAnsiTheme="minorHAnsi"/>
          <w:noProof/>
          <w:sz w:val="22"/>
        </w:rPr>
        <w:tab/>
      </w:r>
      <w:r>
        <w:rPr>
          <w:noProof/>
        </w:rPr>
        <w:t>Disruptions Due to Unforeseen Issues (Environmental Contamination, Other)</w:t>
      </w:r>
      <w:r>
        <w:rPr>
          <w:noProof/>
        </w:rPr>
        <w:tab/>
      </w:r>
      <w:r>
        <w:rPr>
          <w:noProof/>
        </w:rPr>
        <w:fldChar w:fldCharType="begin"/>
      </w:r>
      <w:r>
        <w:rPr>
          <w:noProof/>
        </w:rPr>
        <w:instrText xml:space="preserve"> PAGEREF _Toc107404359 \h </w:instrText>
      </w:r>
      <w:r>
        <w:rPr>
          <w:noProof/>
        </w:rPr>
      </w:r>
      <w:r>
        <w:rPr>
          <w:noProof/>
        </w:rPr>
        <w:fldChar w:fldCharType="separate"/>
      </w:r>
      <w:r>
        <w:rPr>
          <w:noProof/>
        </w:rPr>
        <w:t>17</w:t>
      </w:r>
      <w:r>
        <w:rPr>
          <w:noProof/>
        </w:rPr>
        <w:fldChar w:fldCharType="end"/>
      </w:r>
    </w:p>
    <w:p w14:paraId="187D18F1" w14:textId="113747D1" w:rsidR="007744E7" w:rsidRPr="007744E7" w:rsidRDefault="007744E7">
      <w:pPr>
        <w:pStyle w:val="TOC2"/>
        <w:rPr>
          <w:rFonts w:asciiTheme="minorHAnsi" w:eastAsiaTheme="minorEastAsia" w:hAnsiTheme="minorHAnsi"/>
          <w:noProof/>
          <w:sz w:val="22"/>
          <w:lang w:val="fr-FR"/>
        </w:rPr>
      </w:pPr>
      <w:r w:rsidRPr="007744E7">
        <w:rPr>
          <w:noProof/>
          <w:lang w:val="fr-FR"/>
        </w:rPr>
        <w:t>4.5.</w:t>
      </w:r>
      <w:r w:rsidRPr="007744E7">
        <w:rPr>
          <w:rFonts w:asciiTheme="minorHAnsi" w:eastAsiaTheme="minorEastAsia" w:hAnsiTheme="minorHAnsi"/>
          <w:noProof/>
          <w:sz w:val="22"/>
          <w:lang w:val="fr-FR"/>
        </w:rPr>
        <w:tab/>
      </w:r>
      <w:r w:rsidRPr="007744E7">
        <w:rPr>
          <w:noProof/>
          <w:lang w:val="fr-FR"/>
        </w:rPr>
        <w:t>On-grounds Communication</w:t>
      </w:r>
      <w:r w:rsidRPr="007744E7">
        <w:rPr>
          <w:noProof/>
          <w:lang w:val="fr-FR"/>
        </w:rPr>
        <w:tab/>
      </w:r>
      <w:r>
        <w:rPr>
          <w:noProof/>
        </w:rPr>
        <w:fldChar w:fldCharType="begin"/>
      </w:r>
      <w:r w:rsidRPr="007744E7">
        <w:rPr>
          <w:noProof/>
          <w:lang w:val="fr-FR"/>
        </w:rPr>
        <w:instrText xml:space="preserve"> PAGEREF _Toc107404360 \h </w:instrText>
      </w:r>
      <w:r>
        <w:rPr>
          <w:noProof/>
        </w:rPr>
      </w:r>
      <w:r>
        <w:rPr>
          <w:noProof/>
        </w:rPr>
        <w:fldChar w:fldCharType="separate"/>
      </w:r>
      <w:r w:rsidRPr="007744E7">
        <w:rPr>
          <w:noProof/>
          <w:lang w:val="fr-FR"/>
        </w:rPr>
        <w:t>18</w:t>
      </w:r>
      <w:r>
        <w:rPr>
          <w:noProof/>
        </w:rPr>
        <w:fldChar w:fldCharType="end"/>
      </w:r>
    </w:p>
    <w:p w14:paraId="12329086" w14:textId="254CF41B" w:rsidR="007744E7" w:rsidRPr="007744E7" w:rsidRDefault="007744E7">
      <w:pPr>
        <w:pStyle w:val="TOC2"/>
        <w:rPr>
          <w:rFonts w:asciiTheme="minorHAnsi" w:eastAsiaTheme="minorEastAsia" w:hAnsiTheme="minorHAnsi"/>
          <w:noProof/>
          <w:sz w:val="22"/>
          <w:lang w:val="fr-FR"/>
        </w:rPr>
      </w:pPr>
      <w:r w:rsidRPr="007744E7">
        <w:rPr>
          <w:noProof/>
          <w:lang w:val="fr-FR"/>
        </w:rPr>
        <w:t>4.6.</w:t>
      </w:r>
      <w:r w:rsidRPr="007744E7">
        <w:rPr>
          <w:rFonts w:asciiTheme="minorHAnsi" w:eastAsiaTheme="minorEastAsia" w:hAnsiTheme="minorHAnsi"/>
          <w:noProof/>
          <w:sz w:val="22"/>
          <w:lang w:val="fr-FR"/>
        </w:rPr>
        <w:tab/>
      </w:r>
      <w:r w:rsidRPr="007744E7">
        <w:rPr>
          <w:noProof/>
          <w:lang w:val="fr-FR"/>
        </w:rPr>
        <w:t>Harvest Questionnaire</w:t>
      </w:r>
      <w:r w:rsidRPr="007744E7">
        <w:rPr>
          <w:noProof/>
          <w:lang w:val="fr-FR"/>
        </w:rPr>
        <w:tab/>
      </w:r>
      <w:r>
        <w:rPr>
          <w:noProof/>
        </w:rPr>
        <w:fldChar w:fldCharType="begin"/>
      </w:r>
      <w:r w:rsidRPr="007744E7">
        <w:rPr>
          <w:noProof/>
          <w:lang w:val="fr-FR"/>
        </w:rPr>
        <w:instrText xml:space="preserve"> PAGEREF _Toc107404361 \h </w:instrText>
      </w:r>
      <w:r>
        <w:rPr>
          <w:noProof/>
        </w:rPr>
      </w:r>
      <w:r>
        <w:rPr>
          <w:noProof/>
        </w:rPr>
        <w:fldChar w:fldCharType="separate"/>
      </w:r>
      <w:r w:rsidRPr="007744E7">
        <w:rPr>
          <w:noProof/>
          <w:lang w:val="fr-FR"/>
        </w:rPr>
        <w:t>18</w:t>
      </w:r>
      <w:r>
        <w:rPr>
          <w:noProof/>
        </w:rPr>
        <w:fldChar w:fldCharType="end"/>
      </w:r>
    </w:p>
    <w:p w14:paraId="38DF1648" w14:textId="4B99B9F2" w:rsidR="007744E7" w:rsidRDefault="007744E7">
      <w:pPr>
        <w:pStyle w:val="TOC2"/>
        <w:rPr>
          <w:rFonts w:asciiTheme="minorHAnsi" w:eastAsiaTheme="minorEastAsia" w:hAnsiTheme="minorHAnsi"/>
          <w:noProof/>
          <w:sz w:val="22"/>
        </w:rPr>
      </w:pPr>
      <w:r>
        <w:rPr>
          <w:noProof/>
        </w:rPr>
        <w:t>4.7.</w:t>
      </w:r>
      <w:r>
        <w:rPr>
          <w:rFonts w:asciiTheme="minorHAnsi" w:eastAsiaTheme="minorEastAsia" w:hAnsiTheme="minorHAnsi"/>
          <w:noProof/>
          <w:sz w:val="22"/>
        </w:rPr>
        <w:tab/>
      </w:r>
      <w:r>
        <w:rPr>
          <w:noProof/>
        </w:rPr>
        <w:t>Harvesting on Aquaculture Tenures</w:t>
      </w:r>
      <w:r>
        <w:rPr>
          <w:noProof/>
        </w:rPr>
        <w:tab/>
      </w:r>
      <w:r>
        <w:rPr>
          <w:noProof/>
        </w:rPr>
        <w:fldChar w:fldCharType="begin"/>
      </w:r>
      <w:r>
        <w:rPr>
          <w:noProof/>
        </w:rPr>
        <w:instrText xml:space="preserve"> PAGEREF _Toc107404362 \h </w:instrText>
      </w:r>
      <w:r>
        <w:rPr>
          <w:noProof/>
        </w:rPr>
      </w:r>
      <w:r>
        <w:rPr>
          <w:noProof/>
        </w:rPr>
        <w:fldChar w:fldCharType="separate"/>
      </w:r>
      <w:r>
        <w:rPr>
          <w:noProof/>
        </w:rPr>
        <w:t>18</w:t>
      </w:r>
      <w:r>
        <w:rPr>
          <w:noProof/>
        </w:rPr>
        <w:fldChar w:fldCharType="end"/>
      </w:r>
    </w:p>
    <w:p w14:paraId="6166AB6F" w14:textId="6075C11B" w:rsidR="007744E7" w:rsidRDefault="007744E7">
      <w:pPr>
        <w:pStyle w:val="TOC2"/>
        <w:rPr>
          <w:rFonts w:asciiTheme="minorHAnsi" w:eastAsiaTheme="minorEastAsia" w:hAnsiTheme="minorHAnsi"/>
          <w:noProof/>
          <w:sz w:val="22"/>
        </w:rPr>
      </w:pPr>
      <w:r>
        <w:rPr>
          <w:noProof/>
        </w:rPr>
        <w:t>4.8.</w:t>
      </w:r>
      <w:r>
        <w:rPr>
          <w:rFonts w:asciiTheme="minorHAnsi" w:eastAsiaTheme="minorEastAsia" w:hAnsiTheme="minorHAnsi"/>
          <w:noProof/>
          <w:sz w:val="22"/>
        </w:rPr>
        <w:tab/>
      </w:r>
      <w:r>
        <w:rPr>
          <w:noProof/>
        </w:rPr>
        <w:t>Human Waste Containment Regulation</w:t>
      </w:r>
      <w:r>
        <w:rPr>
          <w:noProof/>
        </w:rPr>
        <w:tab/>
      </w:r>
      <w:r>
        <w:rPr>
          <w:noProof/>
        </w:rPr>
        <w:fldChar w:fldCharType="begin"/>
      </w:r>
      <w:r>
        <w:rPr>
          <w:noProof/>
        </w:rPr>
        <w:instrText xml:space="preserve"> PAGEREF _Toc107404363 \h </w:instrText>
      </w:r>
      <w:r>
        <w:rPr>
          <w:noProof/>
        </w:rPr>
      </w:r>
      <w:r>
        <w:rPr>
          <w:noProof/>
        </w:rPr>
        <w:fldChar w:fldCharType="separate"/>
      </w:r>
      <w:r>
        <w:rPr>
          <w:noProof/>
        </w:rPr>
        <w:t>18</w:t>
      </w:r>
      <w:r>
        <w:rPr>
          <w:noProof/>
        </w:rPr>
        <w:fldChar w:fldCharType="end"/>
      </w:r>
    </w:p>
    <w:p w14:paraId="3ACBB504" w14:textId="787156B0" w:rsidR="007744E7" w:rsidRDefault="007744E7">
      <w:pPr>
        <w:pStyle w:val="TOC1"/>
        <w:rPr>
          <w:rFonts w:asciiTheme="minorHAnsi" w:eastAsiaTheme="minorEastAsia" w:hAnsiTheme="minorHAnsi"/>
          <w:caps w:val="0"/>
          <w:noProof/>
          <w:sz w:val="22"/>
        </w:rPr>
      </w:pPr>
      <w:r>
        <w:rPr>
          <w:noProof/>
        </w:rPr>
        <w:t>5.</w:t>
      </w:r>
      <w:r>
        <w:rPr>
          <w:rFonts w:asciiTheme="minorHAnsi" w:eastAsiaTheme="minorEastAsia" w:hAnsiTheme="minorHAnsi"/>
          <w:caps w:val="0"/>
          <w:noProof/>
          <w:sz w:val="22"/>
        </w:rPr>
        <w:tab/>
      </w:r>
      <w:r>
        <w:rPr>
          <w:noProof/>
        </w:rPr>
        <w:t>closures</w:t>
      </w:r>
      <w:r>
        <w:rPr>
          <w:noProof/>
        </w:rPr>
        <w:tab/>
      </w:r>
      <w:r>
        <w:rPr>
          <w:noProof/>
        </w:rPr>
        <w:fldChar w:fldCharType="begin"/>
      </w:r>
      <w:r>
        <w:rPr>
          <w:noProof/>
        </w:rPr>
        <w:instrText xml:space="preserve"> PAGEREF _Toc107404364 \h </w:instrText>
      </w:r>
      <w:r>
        <w:rPr>
          <w:noProof/>
        </w:rPr>
      </w:r>
      <w:r>
        <w:rPr>
          <w:noProof/>
        </w:rPr>
        <w:fldChar w:fldCharType="separate"/>
      </w:r>
      <w:r>
        <w:rPr>
          <w:noProof/>
        </w:rPr>
        <w:t>19</w:t>
      </w:r>
      <w:r>
        <w:rPr>
          <w:noProof/>
        </w:rPr>
        <w:fldChar w:fldCharType="end"/>
      </w:r>
    </w:p>
    <w:p w14:paraId="33EC1F50" w14:textId="643B5B2D" w:rsidR="007744E7" w:rsidRDefault="007744E7">
      <w:pPr>
        <w:pStyle w:val="TOC2"/>
        <w:rPr>
          <w:rFonts w:asciiTheme="minorHAnsi" w:eastAsiaTheme="minorEastAsia" w:hAnsiTheme="minorHAnsi"/>
          <w:noProof/>
          <w:sz w:val="22"/>
        </w:rPr>
      </w:pPr>
      <w:r>
        <w:rPr>
          <w:noProof/>
        </w:rPr>
        <w:t>5.1.</w:t>
      </w:r>
      <w:r>
        <w:rPr>
          <w:rFonts w:asciiTheme="minorHAnsi" w:eastAsiaTheme="minorEastAsia" w:hAnsiTheme="minorHAnsi"/>
          <w:noProof/>
          <w:sz w:val="22"/>
        </w:rPr>
        <w:tab/>
      </w:r>
      <w:r>
        <w:rPr>
          <w:noProof/>
        </w:rPr>
        <w:t>Notification of Closures</w:t>
      </w:r>
      <w:r>
        <w:rPr>
          <w:noProof/>
        </w:rPr>
        <w:tab/>
      </w:r>
      <w:r>
        <w:rPr>
          <w:noProof/>
        </w:rPr>
        <w:fldChar w:fldCharType="begin"/>
      </w:r>
      <w:r>
        <w:rPr>
          <w:noProof/>
        </w:rPr>
        <w:instrText xml:space="preserve"> PAGEREF _Toc107404365 \h </w:instrText>
      </w:r>
      <w:r>
        <w:rPr>
          <w:noProof/>
        </w:rPr>
      </w:r>
      <w:r>
        <w:rPr>
          <w:noProof/>
        </w:rPr>
        <w:fldChar w:fldCharType="separate"/>
      </w:r>
      <w:r>
        <w:rPr>
          <w:noProof/>
        </w:rPr>
        <w:t>19</w:t>
      </w:r>
      <w:r>
        <w:rPr>
          <w:noProof/>
        </w:rPr>
        <w:fldChar w:fldCharType="end"/>
      </w:r>
    </w:p>
    <w:p w14:paraId="047A1722" w14:textId="0BB1FE0A" w:rsidR="007744E7" w:rsidRDefault="007744E7">
      <w:pPr>
        <w:pStyle w:val="TOC2"/>
        <w:rPr>
          <w:rFonts w:asciiTheme="minorHAnsi" w:eastAsiaTheme="minorEastAsia" w:hAnsiTheme="minorHAnsi"/>
          <w:noProof/>
          <w:sz w:val="22"/>
        </w:rPr>
      </w:pPr>
      <w:r>
        <w:rPr>
          <w:noProof/>
        </w:rPr>
        <w:t>5.2.</w:t>
      </w:r>
      <w:r>
        <w:rPr>
          <w:rFonts w:asciiTheme="minorHAnsi" w:eastAsiaTheme="minorEastAsia" w:hAnsiTheme="minorHAnsi"/>
          <w:noProof/>
          <w:sz w:val="22"/>
        </w:rPr>
        <w:tab/>
      </w:r>
      <w:r>
        <w:rPr>
          <w:noProof/>
        </w:rPr>
        <w:t>Closures</w:t>
      </w:r>
      <w:r>
        <w:rPr>
          <w:noProof/>
        </w:rPr>
        <w:tab/>
      </w:r>
      <w:r>
        <w:rPr>
          <w:noProof/>
        </w:rPr>
        <w:fldChar w:fldCharType="begin"/>
      </w:r>
      <w:r>
        <w:rPr>
          <w:noProof/>
        </w:rPr>
        <w:instrText xml:space="preserve"> PAGEREF _Toc107404366 \h </w:instrText>
      </w:r>
      <w:r>
        <w:rPr>
          <w:noProof/>
        </w:rPr>
      </w:r>
      <w:r>
        <w:rPr>
          <w:noProof/>
        </w:rPr>
        <w:fldChar w:fldCharType="separate"/>
      </w:r>
      <w:r>
        <w:rPr>
          <w:noProof/>
        </w:rPr>
        <w:t>19</w:t>
      </w:r>
      <w:r>
        <w:rPr>
          <w:noProof/>
        </w:rPr>
        <w:fldChar w:fldCharType="end"/>
      </w:r>
    </w:p>
    <w:p w14:paraId="5AD62960" w14:textId="66581928" w:rsidR="007744E7" w:rsidRDefault="007744E7">
      <w:pPr>
        <w:pStyle w:val="TOC1"/>
        <w:rPr>
          <w:rFonts w:asciiTheme="minorHAnsi" w:eastAsiaTheme="minorEastAsia" w:hAnsiTheme="minorHAnsi"/>
          <w:caps w:val="0"/>
          <w:noProof/>
          <w:sz w:val="22"/>
        </w:rPr>
      </w:pPr>
      <w:r>
        <w:rPr>
          <w:noProof/>
        </w:rPr>
        <w:lastRenderedPageBreak/>
        <w:t>6.</w:t>
      </w:r>
      <w:r>
        <w:rPr>
          <w:rFonts w:asciiTheme="minorHAnsi" w:eastAsiaTheme="minorEastAsia" w:hAnsiTheme="minorHAnsi"/>
          <w:caps w:val="0"/>
          <w:noProof/>
          <w:sz w:val="22"/>
        </w:rPr>
        <w:tab/>
      </w:r>
      <w:r>
        <w:rPr>
          <w:noProof/>
        </w:rPr>
        <w:t>Worksafebc</w:t>
      </w:r>
      <w:r>
        <w:rPr>
          <w:noProof/>
        </w:rPr>
        <w:tab/>
      </w:r>
      <w:r>
        <w:rPr>
          <w:noProof/>
        </w:rPr>
        <w:fldChar w:fldCharType="begin"/>
      </w:r>
      <w:r>
        <w:rPr>
          <w:noProof/>
        </w:rPr>
        <w:instrText xml:space="preserve"> PAGEREF _Toc107404367 \h </w:instrText>
      </w:r>
      <w:r>
        <w:rPr>
          <w:noProof/>
        </w:rPr>
      </w:r>
      <w:r>
        <w:rPr>
          <w:noProof/>
        </w:rPr>
        <w:fldChar w:fldCharType="separate"/>
      </w:r>
      <w:r>
        <w:rPr>
          <w:noProof/>
        </w:rPr>
        <w:t>29</w:t>
      </w:r>
      <w:r>
        <w:rPr>
          <w:noProof/>
        </w:rPr>
        <w:fldChar w:fldCharType="end"/>
      </w:r>
    </w:p>
    <w:p w14:paraId="62E2C527" w14:textId="64FE204A" w:rsidR="00454626" w:rsidRPr="00F71E4C" w:rsidRDefault="00BC3DB9">
      <w:r w:rsidRPr="00F71E4C">
        <w:fldChar w:fldCharType="end"/>
      </w:r>
    </w:p>
    <w:p w14:paraId="30B25212" w14:textId="5F36CAB0" w:rsidR="000367B5" w:rsidRPr="00F71E4C" w:rsidRDefault="000367B5" w:rsidP="00DA7044">
      <w:pPr>
        <w:pStyle w:val="Heading1"/>
        <w:keepLines/>
        <w:numPr>
          <w:ilvl w:val="0"/>
          <w:numId w:val="16"/>
        </w:numPr>
      </w:pPr>
      <w:bookmarkStart w:id="4" w:name="_Toc107404330"/>
      <w:r w:rsidRPr="00F71E4C">
        <w:t xml:space="preserve">Management SUMMARY for </w:t>
      </w:r>
      <w:r w:rsidR="004102B3">
        <w:t>202</w:t>
      </w:r>
      <w:r w:rsidR="00FB18E2">
        <w:t>2</w:t>
      </w:r>
      <w:r w:rsidR="00267A66" w:rsidRPr="00F71E4C">
        <w:t>/20</w:t>
      </w:r>
      <w:r w:rsidR="00CD794D" w:rsidRPr="00F71E4C">
        <w:t>2</w:t>
      </w:r>
      <w:r w:rsidR="00FB18E2">
        <w:t>3</w:t>
      </w:r>
      <w:bookmarkEnd w:id="4"/>
    </w:p>
    <w:p w14:paraId="44033B67" w14:textId="77777777" w:rsidR="00C96480" w:rsidRPr="00F71E4C" w:rsidRDefault="00221AF2" w:rsidP="008F211C">
      <w:pPr>
        <w:pStyle w:val="Indent1"/>
      </w:pPr>
      <w:r w:rsidRPr="00F71E4C">
        <w:t>F</w:t>
      </w:r>
      <w:r w:rsidR="00C96480" w:rsidRPr="00F71E4C">
        <w:t>ish</w:t>
      </w:r>
      <w:r w:rsidR="00A00AB6" w:rsidRPr="00F71E4C">
        <w:t xml:space="preserve"> harvest</w:t>
      </w:r>
      <w:r w:rsidR="00C96480" w:rsidRPr="00F71E4C">
        <w:t>er</w:t>
      </w:r>
      <w:r w:rsidR="008F211C" w:rsidRPr="00F71E4C">
        <w:t>s</w:t>
      </w:r>
      <w:r w:rsidR="00C96480" w:rsidRPr="00F71E4C">
        <w:t xml:space="preserve"> are advised to carefully review all information</w:t>
      </w:r>
      <w:r w:rsidRPr="00F71E4C">
        <w:t xml:space="preserve"> in the Commercial Harvest Plan</w:t>
      </w:r>
      <w:r w:rsidR="00C96480" w:rsidRPr="00F71E4C">
        <w:t>.</w:t>
      </w:r>
    </w:p>
    <w:p w14:paraId="4B0AC778" w14:textId="2C865F3E" w:rsidR="000367B5" w:rsidRPr="00F71E4C" w:rsidRDefault="004102B3" w:rsidP="00A45EFF">
      <w:pPr>
        <w:pStyle w:val="1x"/>
        <w:tabs>
          <w:tab w:val="clear" w:pos="720"/>
          <w:tab w:val="num" w:pos="0"/>
        </w:tabs>
      </w:pPr>
      <w:r>
        <w:rPr>
          <w:b/>
        </w:rPr>
        <w:t>202</w:t>
      </w:r>
      <w:r w:rsidR="00F84FB4">
        <w:rPr>
          <w:b/>
        </w:rPr>
        <w:t>2</w:t>
      </w:r>
      <w:r w:rsidR="005A7F13" w:rsidRPr="00F71E4C">
        <w:rPr>
          <w:b/>
        </w:rPr>
        <w:t>/20</w:t>
      </w:r>
      <w:r>
        <w:rPr>
          <w:b/>
        </w:rPr>
        <w:t>2</w:t>
      </w:r>
      <w:r w:rsidR="00F84FB4">
        <w:rPr>
          <w:b/>
        </w:rPr>
        <w:t>3</w:t>
      </w:r>
      <w:r w:rsidR="000367B5" w:rsidRPr="00F71E4C">
        <w:rPr>
          <w:b/>
        </w:rPr>
        <w:t xml:space="preserve"> Fishing Season</w:t>
      </w:r>
      <w:r w:rsidR="003034F3" w:rsidRPr="00F71E4C">
        <w:rPr>
          <w:b/>
        </w:rPr>
        <w:t xml:space="preserve"> (</w:t>
      </w:r>
      <w:smartTag w:uri="urn:schemas-microsoft-com:office:smarttags" w:element="stockticker">
        <w:r w:rsidR="003034F3" w:rsidRPr="00F71E4C">
          <w:rPr>
            <w:b/>
          </w:rPr>
          <w:t>NEW</w:t>
        </w:r>
      </w:smartTag>
      <w:r w:rsidR="003034F3" w:rsidRPr="00F71E4C">
        <w:rPr>
          <w:b/>
        </w:rPr>
        <w:t>)</w:t>
      </w:r>
      <w:r w:rsidR="000367B5" w:rsidRPr="00F71E4C">
        <w:rPr>
          <w:b/>
        </w:rPr>
        <w:t>:</w:t>
      </w:r>
      <w:r w:rsidR="000367B5" w:rsidRPr="00F71E4C">
        <w:t xml:space="preserve"> The commercial fishery will take place from October </w:t>
      </w:r>
      <w:r w:rsidR="00F073E6" w:rsidRPr="00F71E4C">
        <w:t>1</w:t>
      </w:r>
      <w:r>
        <w:t>, 202</w:t>
      </w:r>
      <w:r w:rsidR="00F84FB4">
        <w:t>2</w:t>
      </w:r>
      <w:r w:rsidR="000367B5" w:rsidRPr="00F71E4C">
        <w:t xml:space="preserve"> t</w:t>
      </w:r>
      <w:r w:rsidR="00F9336E" w:rsidRPr="00F71E4C">
        <w:t>hrough</w:t>
      </w:r>
      <w:r w:rsidR="000367B5" w:rsidRPr="00F71E4C">
        <w:t xml:space="preserve"> </w:t>
      </w:r>
      <w:r w:rsidR="00D82B59" w:rsidRPr="00F71E4C">
        <w:t xml:space="preserve">December </w:t>
      </w:r>
      <w:r w:rsidR="00CD794D" w:rsidRPr="00F71E4C">
        <w:t>7</w:t>
      </w:r>
      <w:r>
        <w:t>, 202</w:t>
      </w:r>
      <w:r w:rsidR="00ED6635">
        <w:t>2</w:t>
      </w:r>
      <w:r w:rsidR="00D82B59" w:rsidRPr="00F71E4C">
        <w:t xml:space="preserve"> </w:t>
      </w:r>
      <w:r w:rsidR="000367B5" w:rsidRPr="00F71E4C">
        <w:t>subject to scheduled area openings and in-season closures.</w:t>
      </w:r>
      <w:r w:rsidR="00BD16CA" w:rsidRPr="00F71E4C">
        <w:t xml:space="preserve">  </w:t>
      </w:r>
      <w:r w:rsidR="006E6B7C" w:rsidRPr="00F71E4C">
        <w:t>A</w:t>
      </w:r>
      <w:r w:rsidR="00B16A5A" w:rsidRPr="00F71E4C">
        <w:t xml:space="preserve"> season</w:t>
      </w:r>
      <w:r w:rsidR="006E6B7C" w:rsidRPr="00F71E4C">
        <w:t xml:space="preserve"> extension </w:t>
      </w:r>
      <w:r w:rsidR="00473895" w:rsidRPr="00F71E4C">
        <w:t xml:space="preserve">beyond December </w:t>
      </w:r>
      <w:r w:rsidR="00CD794D" w:rsidRPr="00F71E4C">
        <w:t>7</w:t>
      </w:r>
      <w:r>
        <w:t>, 202</w:t>
      </w:r>
      <w:r w:rsidR="00F84FB4">
        <w:t>2</w:t>
      </w:r>
      <w:r w:rsidR="00473895" w:rsidRPr="00F71E4C">
        <w:t xml:space="preserve"> </w:t>
      </w:r>
      <w:r w:rsidR="006E6B7C" w:rsidRPr="00F71E4C">
        <w:t>will be considered</w:t>
      </w:r>
      <w:r w:rsidR="00473895" w:rsidRPr="00F71E4C">
        <w:t xml:space="preserve"> by the Department if requested by</w:t>
      </w:r>
      <w:r w:rsidR="006E6B7C" w:rsidRPr="00F71E4C">
        <w:t xml:space="preserve"> the Pacific Sea Cucumber Harvesters Association (PSCHA)</w:t>
      </w:r>
      <w:r w:rsidR="00473895" w:rsidRPr="00F71E4C">
        <w:t xml:space="preserve"> in writing</w:t>
      </w:r>
      <w:r w:rsidR="006E6B7C" w:rsidRPr="00F71E4C">
        <w:t>.</w:t>
      </w:r>
      <w:r w:rsidR="00920716" w:rsidRPr="00F71E4C">
        <w:t xml:space="preserve"> </w:t>
      </w:r>
      <w:r w:rsidR="00F45C6C" w:rsidRPr="00F71E4C">
        <w:t xml:space="preserve"> </w:t>
      </w:r>
      <w:r w:rsidR="00473895" w:rsidRPr="00F71E4C">
        <w:t>Requests will generally be considered only if they are due to unforeseen weather events tha</w:t>
      </w:r>
      <w:r>
        <w:t xml:space="preserve">t have prevented the Total </w:t>
      </w:r>
      <w:r w:rsidR="0017794B" w:rsidRPr="00F71E4C">
        <w:t>A</w:t>
      </w:r>
      <w:r>
        <w:t xml:space="preserve">llowable </w:t>
      </w:r>
      <w:r w:rsidR="0017794B" w:rsidRPr="00F71E4C">
        <w:t>C</w:t>
      </w:r>
      <w:r>
        <w:t>atch</w:t>
      </w:r>
      <w:r w:rsidR="0017794B" w:rsidRPr="00F71E4C">
        <w:t xml:space="preserve"> from being completed</w:t>
      </w:r>
      <w:r w:rsidR="00473895" w:rsidRPr="00F71E4C">
        <w:t xml:space="preserve"> during the regular scheduled season as identified above. </w:t>
      </w:r>
      <w:r w:rsidR="0017794B" w:rsidRPr="00F71E4C">
        <w:t>See Section 4</w:t>
      </w:r>
      <w:r w:rsidR="00F45C6C" w:rsidRPr="00F71E4C">
        <w:t xml:space="preserve">. </w:t>
      </w:r>
    </w:p>
    <w:p w14:paraId="77931364" w14:textId="51D401BA" w:rsidR="007B10B7" w:rsidRPr="00F71E4C" w:rsidRDefault="00FB2BA8" w:rsidP="00A45EFF">
      <w:pPr>
        <w:pStyle w:val="1x"/>
        <w:tabs>
          <w:tab w:val="clear" w:pos="720"/>
          <w:tab w:val="num" w:pos="0"/>
        </w:tabs>
      </w:pPr>
      <w:r w:rsidRPr="00F71E4C">
        <w:rPr>
          <w:b/>
        </w:rPr>
        <w:t>Rotational Fishing Strategy:</w:t>
      </w:r>
      <w:r w:rsidR="00416875" w:rsidRPr="00F71E4C">
        <w:t xml:space="preserve"> </w:t>
      </w:r>
      <w:r w:rsidR="0029122E" w:rsidRPr="00F71E4C">
        <w:t>The</w:t>
      </w:r>
      <w:r w:rsidR="00086A7F" w:rsidRPr="00F71E4C">
        <w:t xml:space="preserve"> </w:t>
      </w:r>
      <w:r w:rsidR="0029122E" w:rsidRPr="00F71E4C">
        <w:t xml:space="preserve">3-year </w:t>
      </w:r>
      <w:r w:rsidR="00086A7F" w:rsidRPr="00F71E4C">
        <w:t>A</w:t>
      </w:r>
      <w:r w:rsidR="00B9665A" w:rsidRPr="00F71E4C">
        <w:t xml:space="preserve">daptive </w:t>
      </w:r>
      <w:r w:rsidR="00086A7F" w:rsidRPr="00F71E4C">
        <w:t>Rotational Fishing Strategy</w:t>
      </w:r>
      <w:r w:rsidR="0017794B" w:rsidRPr="00F71E4C">
        <w:t xml:space="preserve"> (ARFS</w:t>
      </w:r>
      <w:r w:rsidR="00327D1B" w:rsidRPr="00F71E4C">
        <w:t>)</w:t>
      </w:r>
      <w:r w:rsidR="007D6169">
        <w:t xml:space="preserve"> will continue for a fourth</w:t>
      </w:r>
      <w:r w:rsidR="0029122E" w:rsidRPr="00F71E4C">
        <w:t xml:space="preserve"> </w:t>
      </w:r>
      <w:r w:rsidR="00954308" w:rsidRPr="00F71E4C">
        <w:t>cycle</w:t>
      </w:r>
      <w:r w:rsidR="0029122E" w:rsidRPr="00F71E4C">
        <w:t xml:space="preserve"> </w:t>
      </w:r>
      <w:r w:rsidR="00086A7F" w:rsidRPr="00F71E4C">
        <w:t>f</w:t>
      </w:r>
      <w:r w:rsidR="0029122E" w:rsidRPr="00F71E4C">
        <w:t>rom</w:t>
      </w:r>
      <w:r w:rsidR="007D6169">
        <w:t xml:space="preserve"> 2020 to 2022</w:t>
      </w:r>
      <w:r w:rsidR="002E02C9" w:rsidRPr="00F71E4C">
        <w:t xml:space="preserve">. </w:t>
      </w:r>
      <w:r w:rsidR="00327D1B" w:rsidRPr="00F71E4C">
        <w:t>T</w:t>
      </w:r>
      <w:r w:rsidR="0029122E" w:rsidRPr="00F71E4C">
        <w:t>he AFRS</w:t>
      </w:r>
      <w:r w:rsidRPr="00F71E4C">
        <w:t xml:space="preserve"> has been developed </w:t>
      </w:r>
      <w:r w:rsidR="00EE320E" w:rsidRPr="00F71E4C">
        <w:t xml:space="preserve">collaboratively </w:t>
      </w:r>
      <w:r w:rsidR="00086A7F" w:rsidRPr="00F71E4C">
        <w:t>by the D</w:t>
      </w:r>
      <w:r w:rsidRPr="00F71E4C">
        <w:t>epart</w:t>
      </w:r>
      <w:r w:rsidR="00086A7F" w:rsidRPr="00F71E4C">
        <w:t>ment and the P</w:t>
      </w:r>
      <w:r w:rsidR="00E0689D">
        <w:t>SCHA</w:t>
      </w:r>
      <w:r w:rsidR="00086A7F" w:rsidRPr="00F71E4C">
        <w:t>. Please see S</w:t>
      </w:r>
      <w:r w:rsidR="0017794B" w:rsidRPr="00F71E4C">
        <w:t>ection 4</w:t>
      </w:r>
      <w:r w:rsidRPr="00F71E4C">
        <w:t xml:space="preserve"> for quotas and open areas for </w:t>
      </w:r>
      <w:r w:rsidR="00086A7F" w:rsidRPr="00F71E4C">
        <w:t xml:space="preserve">the </w:t>
      </w:r>
      <w:r w:rsidR="004102B3">
        <w:t>202</w:t>
      </w:r>
      <w:r w:rsidR="00F84FB4">
        <w:t>2</w:t>
      </w:r>
      <w:r w:rsidR="00482E27" w:rsidRPr="00F71E4C">
        <w:t xml:space="preserve"> </w:t>
      </w:r>
      <w:r w:rsidR="00086A7F" w:rsidRPr="00F71E4C">
        <w:t>season and Appendix 1</w:t>
      </w:r>
      <w:r w:rsidR="0017794B" w:rsidRPr="00F71E4C">
        <w:t>4</w:t>
      </w:r>
      <w:r w:rsidR="00086A7F" w:rsidRPr="00F71E4C">
        <w:t xml:space="preserve"> for more information on the</w:t>
      </w:r>
      <w:r w:rsidR="00E0689D">
        <w:t xml:space="preserve"> ARFS</w:t>
      </w:r>
      <w:r w:rsidR="00086A7F" w:rsidRPr="00F71E4C">
        <w:t xml:space="preserve">. </w:t>
      </w:r>
    </w:p>
    <w:p w14:paraId="605BEA7F" w14:textId="0A9038A3" w:rsidR="00E534A4" w:rsidRPr="00ED6635" w:rsidRDefault="00E534A4" w:rsidP="00A45EFF">
      <w:pPr>
        <w:pStyle w:val="1x"/>
        <w:tabs>
          <w:tab w:val="clear" w:pos="720"/>
          <w:tab w:val="num" w:pos="0"/>
        </w:tabs>
      </w:pPr>
      <w:r w:rsidRPr="00DD25EC">
        <w:rPr>
          <w:b/>
        </w:rPr>
        <w:t>Quota Management Areas (QMAs)</w:t>
      </w:r>
      <w:r w:rsidR="00B55C9C" w:rsidRPr="00DD25EC">
        <w:rPr>
          <w:b/>
        </w:rPr>
        <w:t xml:space="preserve"> (NEW)</w:t>
      </w:r>
      <w:r w:rsidR="002E02C9" w:rsidRPr="00DD25EC">
        <w:t>:</w:t>
      </w:r>
      <w:r w:rsidR="00CC663C">
        <w:t xml:space="preserve"> </w:t>
      </w:r>
      <w:r w:rsidR="009972F1" w:rsidRPr="00ED6635">
        <w:t xml:space="preserve">A large QMA in Management Area </w:t>
      </w:r>
      <w:r w:rsidR="00C17BFC" w:rsidRPr="00ED6635">
        <w:t>7</w:t>
      </w:r>
      <w:r w:rsidR="009972F1" w:rsidRPr="00ED6635">
        <w:t xml:space="preserve"> (</w:t>
      </w:r>
      <w:r w:rsidR="00C17BFC" w:rsidRPr="00ED6635">
        <w:t>7E</w:t>
      </w:r>
      <w:r w:rsidR="0029148D" w:rsidRPr="00ED6635">
        <w:t>)</w:t>
      </w:r>
      <w:r w:rsidR="00656E57" w:rsidRPr="00ED6635">
        <w:t xml:space="preserve"> has been split into t</w:t>
      </w:r>
      <w:r w:rsidR="00C17BFC" w:rsidRPr="00ED6635">
        <w:t>wo</w:t>
      </w:r>
      <w:r w:rsidR="002B5620" w:rsidRPr="00ED6635">
        <w:t xml:space="preserve"> smaller QMAs</w:t>
      </w:r>
      <w:r w:rsidR="004E7F84" w:rsidRPr="00ED6635">
        <w:t xml:space="preserve">. </w:t>
      </w:r>
      <w:r w:rsidRPr="00ED6635">
        <w:t xml:space="preserve">See Section </w:t>
      </w:r>
      <w:r w:rsidR="0017794B" w:rsidRPr="00ED6635">
        <w:t>4</w:t>
      </w:r>
      <w:r w:rsidR="00234161" w:rsidRPr="00ED6635">
        <w:t xml:space="preserve"> and Appendi</w:t>
      </w:r>
      <w:r w:rsidR="002E02C9" w:rsidRPr="00ED6635">
        <w:t>ces</w:t>
      </w:r>
      <w:r w:rsidR="00234161" w:rsidRPr="00ED6635">
        <w:t xml:space="preserve"> </w:t>
      </w:r>
      <w:r w:rsidR="0017794B" w:rsidRPr="00ED6635">
        <w:t>9</w:t>
      </w:r>
      <w:r w:rsidR="002E02C9" w:rsidRPr="00ED6635">
        <w:t xml:space="preserve"> and 10</w:t>
      </w:r>
      <w:r w:rsidR="009F3771" w:rsidRPr="00ED6635">
        <w:t xml:space="preserve"> for</w:t>
      </w:r>
      <w:r w:rsidR="00E0689D" w:rsidRPr="00ED6635">
        <w:t xml:space="preserve"> descriptions</w:t>
      </w:r>
      <w:r w:rsidR="009F3771" w:rsidRPr="00ED6635">
        <w:t xml:space="preserve"> of </w:t>
      </w:r>
      <w:r w:rsidR="00E0689D" w:rsidRPr="00ED6635">
        <w:t>each QMA</w:t>
      </w:r>
      <w:r w:rsidRPr="00ED6635">
        <w:t>.</w:t>
      </w:r>
    </w:p>
    <w:p w14:paraId="413FFE0D" w14:textId="54B16D3E" w:rsidR="00C3190F" w:rsidRPr="00F71E4C" w:rsidRDefault="00EE320E" w:rsidP="00656F1A">
      <w:pPr>
        <w:pStyle w:val="1x"/>
        <w:tabs>
          <w:tab w:val="clear" w:pos="720"/>
          <w:tab w:val="num" w:pos="0"/>
        </w:tabs>
      </w:pPr>
      <w:r w:rsidRPr="00F71E4C">
        <w:rPr>
          <w:b/>
        </w:rPr>
        <w:t>Precautionary Harvest Rate</w:t>
      </w:r>
      <w:r w:rsidRPr="00F71E4C">
        <w:t xml:space="preserve">: </w:t>
      </w:r>
      <w:r w:rsidR="00416875" w:rsidRPr="00F71E4C">
        <w:t xml:space="preserve">A precautionary harvest rate of up to </w:t>
      </w:r>
      <w:r w:rsidR="00C06839" w:rsidRPr="00F71E4C">
        <w:t xml:space="preserve">10 </w:t>
      </w:r>
      <w:r w:rsidR="00656F1A" w:rsidRPr="00F71E4C">
        <w:t xml:space="preserve">percent </w:t>
      </w:r>
      <w:r w:rsidR="00416875" w:rsidRPr="00F71E4C">
        <w:t xml:space="preserve">will be </w:t>
      </w:r>
      <w:r w:rsidR="00327D1B" w:rsidRPr="00F71E4C">
        <w:t>applied to most</w:t>
      </w:r>
      <w:r w:rsidR="00656F1A" w:rsidRPr="00F71E4C">
        <w:t xml:space="preserve"> QMA</w:t>
      </w:r>
      <w:r w:rsidR="00327D1B" w:rsidRPr="00F71E4C">
        <w:t>s</w:t>
      </w:r>
      <w:r w:rsidR="00656F1A" w:rsidRPr="00F71E4C">
        <w:t xml:space="preserve"> once every three years as part of the Adaptive Rotational Fishery Strategy</w:t>
      </w:r>
      <w:r w:rsidR="00416875" w:rsidRPr="00F71E4C">
        <w:t xml:space="preserve"> (equivalent to an annual harvest rate of approximately 3.3 percent)</w:t>
      </w:r>
      <w:r w:rsidR="00656F1A" w:rsidRPr="00F71E4C">
        <w:t xml:space="preserve">. </w:t>
      </w:r>
      <w:r w:rsidR="0017794B" w:rsidRPr="00F71E4C">
        <w:t xml:space="preserve"> </w:t>
      </w:r>
      <w:r w:rsidR="0017794B" w:rsidRPr="00C60883">
        <w:t>A</w:t>
      </w:r>
      <w:r w:rsidR="004E7F84">
        <w:t xml:space="preserve"> </w:t>
      </w:r>
      <w:r w:rsidR="0017794B" w:rsidRPr="00C60883">
        <w:t xml:space="preserve">harvest rate of </w:t>
      </w:r>
      <w:r w:rsidR="00C60883" w:rsidRPr="00C60883">
        <w:t>between 2.2 to</w:t>
      </w:r>
      <w:r w:rsidR="00327D1B" w:rsidRPr="00C60883">
        <w:t xml:space="preserve"> 4.2</w:t>
      </w:r>
      <w:r w:rsidR="00327D1B" w:rsidRPr="00F71E4C">
        <w:t xml:space="preserve"> percent will be applied to</w:t>
      </w:r>
      <w:r w:rsidR="0017794B" w:rsidRPr="00F71E4C">
        <w:t xml:space="preserve"> QMAs </w:t>
      </w:r>
      <w:r w:rsidR="004E7F84">
        <w:t xml:space="preserve">that are on an annual harvest strategy. </w:t>
      </w:r>
      <w:r w:rsidR="007F242C" w:rsidRPr="00F71E4C">
        <w:t>See Appendix 14 for details.</w:t>
      </w:r>
    </w:p>
    <w:p w14:paraId="4F02127C" w14:textId="0501C7F3" w:rsidR="00952D4C" w:rsidRPr="009972F1" w:rsidRDefault="00952D4C" w:rsidP="00952D4C">
      <w:pPr>
        <w:pStyle w:val="1x"/>
        <w:tabs>
          <w:tab w:val="clear" w:pos="720"/>
          <w:tab w:val="num" w:pos="0"/>
        </w:tabs>
      </w:pPr>
      <w:r w:rsidRPr="00F71E4C">
        <w:rPr>
          <w:b/>
        </w:rPr>
        <w:t>Total Allowable Catch</w:t>
      </w:r>
      <w:r w:rsidR="004102B3">
        <w:rPr>
          <w:b/>
        </w:rPr>
        <w:t xml:space="preserve"> (TAC)</w:t>
      </w:r>
      <w:r w:rsidRPr="00F71E4C">
        <w:rPr>
          <w:b/>
        </w:rPr>
        <w:t xml:space="preserve">: </w:t>
      </w:r>
      <w:r w:rsidR="00C60883" w:rsidRPr="009972F1">
        <w:t xml:space="preserve">616.9 </w:t>
      </w:r>
      <w:proofErr w:type="spellStart"/>
      <w:r w:rsidR="00C60883" w:rsidRPr="009972F1">
        <w:t>tonnes</w:t>
      </w:r>
      <w:proofErr w:type="spellEnd"/>
      <w:r w:rsidR="00C60883" w:rsidRPr="009972F1">
        <w:t xml:space="preserve"> (1,360</w:t>
      </w:r>
      <w:r w:rsidRPr="009972F1">
        <w:t>,000 pounds)</w:t>
      </w:r>
      <w:r w:rsidR="0017794B" w:rsidRPr="009972F1">
        <w:t xml:space="preserve"> split weight.  See Section 4</w:t>
      </w:r>
      <w:r w:rsidRPr="009972F1">
        <w:t>.</w:t>
      </w:r>
    </w:p>
    <w:p w14:paraId="1D8C101E" w14:textId="68FEDD7F" w:rsidR="00952D4C" w:rsidRPr="00F71E4C" w:rsidRDefault="00952D4C" w:rsidP="00952D4C">
      <w:pPr>
        <w:pStyle w:val="1x"/>
        <w:tabs>
          <w:tab w:val="clear" w:pos="720"/>
          <w:tab w:val="num" w:pos="0"/>
        </w:tabs>
      </w:pPr>
      <w:r w:rsidRPr="009972F1">
        <w:rPr>
          <w:b/>
        </w:rPr>
        <w:t>Individual Quota:</w:t>
      </w:r>
      <w:r w:rsidRPr="009972F1">
        <w:t xml:space="preserve"> </w:t>
      </w:r>
      <w:r w:rsidR="00C60883" w:rsidRPr="009972F1">
        <w:t xml:space="preserve">7.2 </w:t>
      </w:r>
      <w:proofErr w:type="spellStart"/>
      <w:r w:rsidR="00C60883" w:rsidRPr="009972F1">
        <w:t>tonnes</w:t>
      </w:r>
      <w:proofErr w:type="spellEnd"/>
      <w:r w:rsidR="00C60883" w:rsidRPr="009972F1">
        <w:t xml:space="preserve"> (16</w:t>
      </w:r>
      <w:r w:rsidRPr="009972F1">
        <w:t>,000 pounds)</w:t>
      </w:r>
      <w:r w:rsidRPr="00F71E4C">
        <w:t xml:space="preserve"> split weight per licence.  </w:t>
      </w:r>
      <w:r w:rsidR="00CD5F17" w:rsidRPr="00F71E4C">
        <w:t>See Section 3</w:t>
      </w:r>
      <w:r w:rsidRPr="00F71E4C">
        <w:t>.1.</w:t>
      </w:r>
    </w:p>
    <w:p w14:paraId="2153060C" w14:textId="304BA9A5" w:rsidR="002B16C3" w:rsidRPr="00F71E4C" w:rsidRDefault="002B16C3" w:rsidP="00A45EFF">
      <w:pPr>
        <w:pStyle w:val="1x"/>
        <w:tabs>
          <w:tab w:val="clear" w:pos="720"/>
          <w:tab w:val="num" w:pos="0"/>
        </w:tabs>
      </w:pPr>
      <w:r w:rsidRPr="00F71E4C">
        <w:rPr>
          <w:b/>
        </w:rPr>
        <w:t>Harvest Questionnaire:</w:t>
      </w:r>
      <w:r w:rsidRPr="00F71E4C">
        <w:t xml:space="preserve"> </w:t>
      </w:r>
      <w:r w:rsidR="00F929B2" w:rsidRPr="00F71E4C">
        <w:t>A</w:t>
      </w:r>
      <w:r w:rsidRPr="00F71E4C">
        <w:t xml:space="preserve"> harvest questionnaire will be added as an insert to the harvest logbook in order to get on-grounds observations from harvesters on each of the QMAs </w:t>
      </w:r>
      <w:r w:rsidR="004102B3">
        <w:t>harvested in 202</w:t>
      </w:r>
      <w:r w:rsidR="00F84FB4">
        <w:t>2</w:t>
      </w:r>
      <w:r w:rsidR="00CD5F17" w:rsidRPr="00F71E4C">
        <w:t>. See Section 4</w:t>
      </w:r>
      <w:r w:rsidR="00E0689D">
        <w:t>.7</w:t>
      </w:r>
      <w:r w:rsidRPr="00F71E4C">
        <w:t xml:space="preserve">. </w:t>
      </w:r>
    </w:p>
    <w:p w14:paraId="091BC837" w14:textId="39E740DD" w:rsidR="005735BF" w:rsidRPr="00C17BFC" w:rsidRDefault="005735BF" w:rsidP="00A45EFF">
      <w:pPr>
        <w:pStyle w:val="1x"/>
        <w:tabs>
          <w:tab w:val="clear" w:pos="720"/>
          <w:tab w:val="num" w:pos="0"/>
        </w:tabs>
      </w:pPr>
      <w:r w:rsidRPr="00F71E4C">
        <w:rPr>
          <w:b/>
        </w:rPr>
        <w:t>Area Licensing</w:t>
      </w:r>
      <w:r w:rsidR="00456F30" w:rsidRPr="00F71E4C">
        <w:rPr>
          <w:b/>
        </w:rPr>
        <w:t xml:space="preserve"> (</w:t>
      </w:r>
      <w:smartTag w:uri="urn:schemas-microsoft-com:office:smarttags" w:element="stockticker">
        <w:r w:rsidR="00456F30" w:rsidRPr="00F71E4C">
          <w:rPr>
            <w:b/>
          </w:rPr>
          <w:t>NEW</w:t>
        </w:r>
      </w:smartTag>
      <w:r w:rsidR="007868E4" w:rsidRPr="00F71E4C">
        <w:rPr>
          <w:b/>
        </w:rPr>
        <w:t>)</w:t>
      </w:r>
      <w:r w:rsidRPr="00F71E4C">
        <w:rPr>
          <w:b/>
        </w:rPr>
        <w:t>:</w:t>
      </w:r>
      <w:r w:rsidRPr="00F71E4C">
        <w:t xml:space="preserve"> </w:t>
      </w:r>
      <w:r w:rsidRPr="00C17BFC">
        <w:t xml:space="preserve">North Coast, </w:t>
      </w:r>
      <w:r w:rsidR="00C17BFC" w:rsidRPr="00C17BFC">
        <w:t>32</w:t>
      </w:r>
      <w:r w:rsidRPr="00C17BFC">
        <w:t xml:space="preserve"> </w:t>
      </w:r>
      <w:proofErr w:type="spellStart"/>
      <w:r w:rsidRPr="00C17BFC">
        <w:t>licences</w:t>
      </w:r>
      <w:proofErr w:type="spellEnd"/>
      <w:r w:rsidR="00456F30" w:rsidRPr="00C17BFC">
        <w:t xml:space="preserve"> (</w:t>
      </w:r>
      <w:r w:rsidR="00B807A0" w:rsidRPr="00C17BFC">
        <w:t>3</w:t>
      </w:r>
      <w:r w:rsidR="00F84FB4" w:rsidRPr="00C17BFC">
        <w:t>3</w:t>
      </w:r>
      <w:r w:rsidR="004102B3" w:rsidRPr="00C17BFC">
        <w:t xml:space="preserve"> in 202</w:t>
      </w:r>
      <w:r w:rsidR="00F84FB4" w:rsidRPr="00C17BFC">
        <w:t>1</w:t>
      </w:r>
      <w:r w:rsidR="00C3190F" w:rsidRPr="00C17BFC">
        <w:t>)</w:t>
      </w:r>
      <w:r w:rsidRPr="00C17BFC">
        <w:t xml:space="preserve">; Central Coast, </w:t>
      </w:r>
      <w:r w:rsidR="00C17BFC" w:rsidRPr="00C17BFC">
        <w:t>29</w:t>
      </w:r>
      <w:r w:rsidRPr="00C17BFC">
        <w:t xml:space="preserve"> </w:t>
      </w:r>
      <w:proofErr w:type="spellStart"/>
      <w:r w:rsidRPr="00C17BFC">
        <w:t>licences</w:t>
      </w:r>
      <w:proofErr w:type="spellEnd"/>
      <w:r w:rsidR="00456F30" w:rsidRPr="00C17BFC">
        <w:t xml:space="preserve"> (</w:t>
      </w:r>
      <w:r w:rsidR="004102B3" w:rsidRPr="00C17BFC">
        <w:t>2</w:t>
      </w:r>
      <w:r w:rsidR="00F84FB4" w:rsidRPr="00C17BFC">
        <w:t>4</w:t>
      </w:r>
      <w:r w:rsidR="004102B3" w:rsidRPr="00C17BFC">
        <w:t xml:space="preserve"> in 202</w:t>
      </w:r>
      <w:r w:rsidR="00F84FB4" w:rsidRPr="00C17BFC">
        <w:t>1</w:t>
      </w:r>
      <w:r w:rsidR="00C3190F" w:rsidRPr="00C17BFC">
        <w:t>)</w:t>
      </w:r>
      <w:r w:rsidRPr="00C17BFC">
        <w:t xml:space="preserve">; East Coast Vancouver Island, </w:t>
      </w:r>
      <w:r w:rsidR="00C17BFC" w:rsidRPr="00C17BFC">
        <w:t>18</w:t>
      </w:r>
      <w:r w:rsidRPr="00C17BFC">
        <w:t xml:space="preserve"> </w:t>
      </w:r>
      <w:proofErr w:type="spellStart"/>
      <w:r w:rsidRPr="00C17BFC">
        <w:t>licences</w:t>
      </w:r>
      <w:proofErr w:type="spellEnd"/>
      <w:r w:rsidR="008F211C" w:rsidRPr="00C17BFC">
        <w:t xml:space="preserve"> </w:t>
      </w:r>
      <w:r w:rsidR="00456F30" w:rsidRPr="00C17BFC">
        <w:t>(</w:t>
      </w:r>
      <w:r w:rsidR="006E6B7C" w:rsidRPr="00C17BFC">
        <w:t>2</w:t>
      </w:r>
      <w:r w:rsidR="00F84FB4" w:rsidRPr="00C17BFC">
        <w:t>1</w:t>
      </w:r>
      <w:r w:rsidR="004102B3" w:rsidRPr="00C17BFC">
        <w:t xml:space="preserve"> in 202</w:t>
      </w:r>
      <w:r w:rsidR="00F84FB4" w:rsidRPr="00C17BFC">
        <w:t>1</w:t>
      </w:r>
      <w:r w:rsidR="00C3190F" w:rsidRPr="00C17BFC">
        <w:t xml:space="preserve">) </w:t>
      </w:r>
      <w:r w:rsidR="008F211C" w:rsidRPr="00C17BFC">
        <w:t xml:space="preserve">and </w:t>
      </w:r>
      <w:r w:rsidR="00BE6109" w:rsidRPr="00C17BFC">
        <w:t>We</w:t>
      </w:r>
      <w:r w:rsidRPr="00C17BFC">
        <w:t xml:space="preserve">st </w:t>
      </w:r>
      <w:r w:rsidR="00BE6109" w:rsidRPr="00C17BFC">
        <w:t>C</w:t>
      </w:r>
      <w:r w:rsidRPr="00C17BFC">
        <w:t xml:space="preserve">oast Vancouver Island, </w:t>
      </w:r>
      <w:r w:rsidR="00C17BFC" w:rsidRPr="00C17BFC">
        <w:t>6</w:t>
      </w:r>
      <w:r w:rsidRPr="00C17BFC">
        <w:t xml:space="preserve"> </w:t>
      </w:r>
      <w:proofErr w:type="spellStart"/>
      <w:r w:rsidRPr="00C17BFC">
        <w:t>licences</w:t>
      </w:r>
      <w:proofErr w:type="spellEnd"/>
      <w:r w:rsidR="00C3190F" w:rsidRPr="00C17BFC">
        <w:t xml:space="preserve"> (</w:t>
      </w:r>
      <w:r w:rsidR="00F84FB4" w:rsidRPr="00C17BFC">
        <w:t>7</w:t>
      </w:r>
      <w:r w:rsidR="006A133D" w:rsidRPr="00C17BFC">
        <w:t xml:space="preserve"> in 20</w:t>
      </w:r>
      <w:r w:rsidR="004102B3" w:rsidRPr="00C17BFC">
        <w:t>2</w:t>
      </w:r>
      <w:r w:rsidR="00F84FB4" w:rsidRPr="00C17BFC">
        <w:t>1</w:t>
      </w:r>
      <w:r w:rsidR="00C3190F" w:rsidRPr="00C17BFC">
        <w:t>)</w:t>
      </w:r>
      <w:r w:rsidR="005B0B92" w:rsidRPr="00C17BFC">
        <w:t xml:space="preserve">. </w:t>
      </w:r>
      <w:r w:rsidRPr="00C17BFC">
        <w:t xml:space="preserve"> </w:t>
      </w:r>
      <w:r w:rsidR="005B0B92" w:rsidRPr="00C17BFC">
        <w:t>S</w:t>
      </w:r>
      <w:r w:rsidRPr="00C17BFC">
        <w:t>ee Section</w:t>
      </w:r>
      <w:r w:rsidR="004B6ED5" w:rsidRPr="00C17BFC">
        <w:t>s</w:t>
      </w:r>
      <w:r w:rsidRPr="00C17BFC">
        <w:t xml:space="preserve"> </w:t>
      </w:r>
      <w:r w:rsidR="00CD5F17" w:rsidRPr="00C17BFC">
        <w:t>2</w:t>
      </w:r>
      <w:r w:rsidR="00C3190F" w:rsidRPr="00C17BFC">
        <w:t>.</w:t>
      </w:r>
      <w:r w:rsidR="004B6ED5" w:rsidRPr="00C17BFC">
        <w:t>6</w:t>
      </w:r>
      <w:r w:rsidR="00C3190F" w:rsidRPr="00C17BFC">
        <w:t xml:space="preserve"> and </w:t>
      </w:r>
      <w:r w:rsidR="00CD5F17" w:rsidRPr="00C17BFC">
        <w:t>4</w:t>
      </w:r>
      <w:r w:rsidRPr="00C17BFC">
        <w:t>.</w:t>
      </w:r>
    </w:p>
    <w:p w14:paraId="09DC8EE5" w14:textId="77777777" w:rsidR="0043094D" w:rsidRPr="00F71E4C" w:rsidRDefault="0043094D" w:rsidP="00014E1D">
      <w:pPr>
        <w:pStyle w:val="1x"/>
        <w:numPr>
          <w:ilvl w:val="0"/>
          <w:numId w:val="0"/>
        </w:numPr>
      </w:pPr>
      <w:r w:rsidRPr="00F71E4C">
        <w:rPr>
          <w:b/>
        </w:rPr>
        <w:t>Note:</w:t>
      </w:r>
      <w:r w:rsidRPr="00F71E4C">
        <w:t xml:space="preserve"> The management measures section formerly found in Section 2 of past Commercial Harvest Plans has been moved to Appendix </w:t>
      </w:r>
      <w:r w:rsidR="00DA7044" w:rsidRPr="00F71E4C">
        <w:t>6</w:t>
      </w:r>
      <w:r w:rsidR="000272DE" w:rsidRPr="00F71E4C">
        <w:t>.</w:t>
      </w:r>
    </w:p>
    <w:p w14:paraId="6D62A169" w14:textId="77777777" w:rsidR="00E13C54" w:rsidRPr="00656E57" w:rsidRDefault="00E13C54" w:rsidP="003226EA">
      <w:pPr>
        <w:pStyle w:val="Heading1"/>
      </w:pPr>
      <w:bookmarkStart w:id="5" w:name="_Toc395012176"/>
      <w:bookmarkStart w:id="6" w:name="_Toc395012177"/>
      <w:bookmarkStart w:id="7" w:name="_Toc395012178"/>
      <w:bookmarkStart w:id="8" w:name="_Toc145824900"/>
      <w:bookmarkStart w:id="9" w:name="_Toc145824902"/>
      <w:bookmarkStart w:id="10" w:name="_Toc395012179"/>
      <w:bookmarkStart w:id="11" w:name="_Toc395012180"/>
      <w:bookmarkStart w:id="12" w:name="_Toc145824905"/>
      <w:bookmarkStart w:id="13" w:name="_Toc395012181"/>
      <w:bookmarkStart w:id="14" w:name="_Toc395012182"/>
      <w:bookmarkStart w:id="15" w:name="_Toc395012183"/>
      <w:bookmarkStart w:id="16" w:name="_Toc395012184"/>
      <w:bookmarkStart w:id="17" w:name="_Toc395012185"/>
      <w:bookmarkStart w:id="18" w:name="_Toc395012186"/>
      <w:bookmarkStart w:id="19" w:name="_Toc395012187"/>
      <w:bookmarkStart w:id="20" w:name="_Toc395012188"/>
      <w:bookmarkStart w:id="21" w:name="_Toc395012189"/>
      <w:bookmarkStart w:id="22" w:name="_Toc395012190"/>
      <w:bookmarkStart w:id="23" w:name="_Toc395012191"/>
      <w:bookmarkStart w:id="24" w:name="_Toc395012192"/>
      <w:bookmarkStart w:id="25" w:name="_Toc395012193"/>
      <w:bookmarkStart w:id="26" w:name="_Toc395012194"/>
      <w:bookmarkStart w:id="27" w:name="_Toc395012195"/>
      <w:bookmarkStart w:id="28" w:name="_Toc395012196"/>
      <w:bookmarkStart w:id="29" w:name="_Toc395012197"/>
      <w:bookmarkStart w:id="30" w:name="_Toc395012198"/>
      <w:bookmarkStart w:id="31" w:name="_Toc395012199"/>
      <w:bookmarkStart w:id="32" w:name="_Toc395012200"/>
      <w:bookmarkStart w:id="33" w:name="_Toc395012201"/>
      <w:bookmarkStart w:id="34" w:name="_Toc395012202"/>
      <w:bookmarkStart w:id="35" w:name="_Toc395012203"/>
      <w:bookmarkStart w:id="36" w:name="_Toc360798436"/>
      <w:bookmarkStart w:id="37" w:name="_Toc360798437"/>
      <w:bookmarkStart w:id="38" w:name="_Toc395012204"/>
      <w:bookmarkStart w:id="39" w:name="_Toc395012205"/>
      <w:bookmarkStart w:id="40" w:name="_Toc395012206"/>
      <w:bookmarkStart w:id="41" w:name="_Toc395012207"/>
      <w:bookmarkStart w:id="42" w:name="_Toc395012208"/>
      <w:bookmarkStart w:id="43" w:name="_Toc395012209"/>
      <w:bookmarkStart w:id="44" w:name="_Toc395012210"/>
      <w:bookmarkStart w:id="45" w:name="_Toc395012211"/>
      <w:bookmarkStart w:id="46" w:name="_Toc395012212"/>
      <w:bookmarkStart w:id="47" w:name="_Toc395012213"/>
      <w:bookmarkStart w:id="48" w:name="_Toc107404331"/>
      <w:bookmarkStart w:id="49" w:name="_Toc429207355"/>
      <w:bookmarkStart w:id="50" w:name="_Toc45228436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656E57">
        <w:lastRenderedPageBreak/>
        <w:t>LICENSING REQUIREMENTS FOR THE COMMERCIAL FISHERY</w:t>
      </w:r>
      <w:bookmarkEnd w:id="48"/>
    </w:p>
    <w:p w14:paraId="7BD71826" w14:textId="77777777" w:rsidR="00E06E72" w:rsidRPr="00F71E4C" w:rsidRDefault="00C674B2" w:rsidP="00C23BE2">
      <w:pPr>
        <w:pStyle w:val="Heading2"/>
      </w:pPr>
      <w:bookmarkStart w:id="51" w:name="_Toc107404332"/>
      <w:bookmarkStart w:id="52" w:name="_Toc449171924"/>
      <w:bookmarkStart w:id="53" w:name="_Toc449755162"/>
      <w:bookmarkStart w:id="54" w:name="_Toc450117521"/>
      <w:bookmarkStart w:id="55" w:name="_Toc452860129"/>
      <w:bookmarkStart w:id="56" w:name="_Toc474208763"/>
      <w:bookmarkStart w:id="57" w:name="_Toc11804385"/>
      <w:bookmarkStart w:id="58" w:name="_Toc39985868"/>
      <w:r w:rsidRPr="00F71E4C">
        <w:t>National Online Licensing System (NOLS) Client Support – Licensing Services</w:t>
      </w:r>
      <w:bookmarkEnd w:id="51"/>
    </w:p>
    <w:p w14:paraId="05C6764D" w14:textId="77777777" w:rsidR="00BD262C" w:rsidRPr="00F71E4C" w:rsidRDefault="00BD262C" w:rsidP="00BD262C">
      <w:pPr>
        <w:spacing w:before="120"/>
        <w:rPr>
          <w:i/>
        </w:rPr>
      </w:pPr>
      <w:r w:rsidRPr="00F71E4C">
        <w:t xml:space="preserve">All fish harvesters/licence holders/vessel owners are required to use the National Online Licensing System (NOLS) to view, pay for and print their commercial fishing </w:t>
      </w:r>
      <w:proofErr w:type="spellStart"/>
      <w:r w:rsidRPr="00F71E4C">
        <w:t>licences</w:t>
      </w:r>
      <w:proofErr w:type="spellEnd"/>
      <w:r w:rsidRPr="00F71E4C">
        <w:t xml:space="preserve">, licence conditions and/or receipts. NOLS website: </w:t>
      </w:r>
      <w:hyperlink r:id="rId8" w:history="1">
        <w:r w:rsidRPr="00F71E4C">
          <w:rPr>
            <w:color w:val="0000FF"/>
            <w:u w:val="single"/>
          </w:rPr>
          <w:t>http://www.dfo-mpo.gc.ca/fm-gp/sdc-cps/licence-permis-eng.htm</w:t>
        </w:r>
      </w:hyperlink>
    </w:p>
    <w:p w14:paraId="29B50B44" w14:textId="77777777" w:rsidR="00BD262C" w:rsidRPr="00F71E4C" w:rsidRDefault="00BD262C" w:rsidP="00BD262C">
      <w:pPr>
        <w:spacing w:before="120"/>
      </w:pPr>
      <w:r w:rsidRPr="00F71E4C">
        <w:t>Training materials, including step-by-step guides and a detailed user training manual, are available online (</w:t>
      </w:r>
      <w:hyperlink r:id="rId9" w:history="1">
        <w:r w:rsidRPr="00F71E4C">
          <w:rPr>
            <w:color w:val="0000FF"/>
            <w:u w:val="single"/>
          </w:rPr>
          <w:t>http://www.dfo-mpo.gc.ca/FM-GP/SDC-CPS/licence-permis-eng.htm</w:t>
        </w:r>
      </w:hyperlink>
      <w:r w:rsidRPr="00F71E4C">
        <w:t xml:space="preserve">) to guide users of the system in completing their licensing transactions. The Department also provides client support and assistance on how to use the system via email at </w:t>
      </w:r>
      <w:hyperlink r:id="rId10" w:history="1">
        <w:r w:rsidRPr="00F71E4C">
          <w:rPr>
            <w:color w:val="0000FF"/>
            <w:u w:val="single"/>
          </w:rPr>
          <w:t>fishing-peche@dfo-mpo.gc.ca</w:t>
        </w:r>
      </w:hyperlink>
      <w:r w:rsidRPr="00F71E4C">
        <w:t xml:space="preserve"> or by calling toll-free at 1-877-535-7307 (7:00AM to 8:00PM Eastern, Monday to Friday).</w:t>
      </w:r>
    </w:p>
    <w:p w14:paraId="217DF863" w14:textId="77777777" w:rsidR="00BD262C" w:rsidRPr="00F71E4C" w:rsidRDefault="00BD262C" w:rsidP="00BD262C">
      <w:pPr>
        <w:spacing w:before="120"/>
      </w:pPr>
      <w:r w:rsidRPr="00F71E4C">
        <w:t xml:space="preserve">Information on the National Online system may be found on the DFO internet site at: </w:t>
      </w:r>
      <w:hyperlink r:id="rId11" w:history="1">
        <w:r w:rsidRPr="00F71E4C">
          <w:rPr>
            <w:color w:val="0000FF"/>
            <w:u w:val="single"/>
          </w:rPr>
          <w:t>http://www.dfo-mpo.gc.ca/fm-gp/sdc-cps/licence-permis-eng.htm</w:t>
        </w:r>
      </w:hyperlink>
    </w:p>
    <w:p w14:paraId="78AEA8C8" w14:textId="77777777" w:rsidR="00BD262C" w:rsidRPr="00F71E4C" w:rsidRDefault="00BD262C" w:rsidP="00BD262C">
      <w:pPr>
        <w:spacing w:before="120"/>
      </w:pPr>
      <w:r w:rsidRPr="00F71E4C">
        <w:t>Please visit the Pacific Region Licensing website and subscribe to fishery notices for up</w:t>
      </w:r>
      <w:r w:rsidR="00F637DC" w:rsidRPr="00F71E4C">
        <w:t>d</w:t>
      </w:r>
      <w:r w:rsidRPr="00F71E4C">
        <w:t xml:space="preserve">ates on the National Online Licensing System and licensing services: </w:t>
      </w:r>
      <w:hyperlink r:id="rId12" w:history="1">
        <w:r w:rsidRPr="00F71E4C">
          <w:rPr>
            <w:color w:val="0000FF"/>
            <w:u w:val="single"/>
          </w:rPr>
          <w:t>http://www.pac.dfo-mpo.gc.ca/fm-gp/licence-permis/index-eng.html</w:t>
        </w:r>
      </w:hyperlink>
    </w:p>
    <w:p w14:paraId="5F8DF10C" w14:textId="77777777" w:rsidR="00CB7915" w:rsidRPr="00F71E4C" w:rsidRDefault="00C674B2">
      <w:r w:rsidRPr="00F71E4C">
        <w:t>For more information on how to register and use the system, visit the Department’s website at the website address above, or contact our client support.</w:t>
      </w:r>
    </w:p>
    <w:p w14:paraId="636544E1" w14:textId="77777777" w:rsidR="00CB7915" w:rsidRPr="00F71E4C" w:rsidRDefault="00CB7915">
      <w:pPr>
        <w:rPr>
          <w:u w:val="single"/>
        </w:rPr>
      </w:pPr>
      <w:r w:rsidRPr="00F71E4C">
        <w:rPr>
          <w:u w:val="single"/>
        </w:rPr>
        <w:t>Licence Renewal</w:t>
      </w:r>
    </w:p>
    <w:p w14:paraId="3F105EAE" w14:textId="77777777" w:rsidR="00E06E72" w:rsidRPr="00F71E4C" w:rsidRDefault="00CB7915">
      <w:r w:rsidRPr="00F71E4C">
        <w:t xml:space="preserve">In order to retain the privilege to be issued a commercial licence in the future, it is critical that you renew you licence and pay the applicable licence renewal fees through the online system on an annual basis, whether fishing takes place or not. Should the licence not be renewed by </w:t>
      </w:r>
      <w:r w:rsidR="00063334" w:rsidRPr="00F71E4C">
        <w:t>September 30</w:t>
      </w:r>
      <w:r w:rsidR="00063334" w:rsidRPr="00F71E4C">
        <w:rPr>
          <w:vertAlign w:val="superscript"/>
        </w:rPr>
        <w:t>th</w:t>
      </w:r>
      <w:r w:rsidR="00063334" w:rsidRPr="00F71E4C">
        <w:t xml:space="preserve"> </w:t>
      </w:r>
      <w:r w:rsidRPr="00F71E4C">
        <w:t xml:space="preserve">of the next calendar year, the licence eligibility will cease to exist and DFO will be unable to consider any licence issuance requests in the future. </w:t>
      </w:r>
      <w:r w:rsidR="00BD262C" w:rsidRPr="00F71E4C">
        <w:t xml:space="preserve"> </w:t>
      </w:r>
    </w:p>
    <w:p w14:paraId="720D051C" w14:textId="77777777" w:rsidR="00E13C54" w:rsidRPr="00F71E4C" w:rsidRDefault="00E13C54" w:rsidP="00F338EE">
      <w:pPr>
        <w:pStyle w:val="Heading2"/>
      </w:pPr>
      <w:bookmarkStart w:id="59" w:name="_Toc107404333"/>
      <w:r w:rsidRPr="00F71E4C">
        <w:t>Licence Category</w:t>
      </w:r>
      <w:bookmarkEnd w:id="52"/>
      <w:bookmarkEnd w:id="53"/>
      <w:bookmarkEnd w:id="54"/>
      <w:bookmarkEnd w:id="55"/>
      <w:bookmarkEnd w:id="56"/>
      <w:bookmarkEnd w:id="57"/>
      <w:bookmarkEnd w:id="58"/>
      <w:bookmarkEnd w:id="59"/>
    </w:p>
    <w:p w14:paraId="788A0372" w14:textId="09FE3BD3" w:rsidR="00A00FA3" w:rsidRDefault="00A00FA3" w:rsidP="000272DE">
      <w:pPr>
        <w:pStyle w:val="Indent2"/>
        <w:ind w:left="0"/>
      </w:pPr>
      <w:bookmarkStart w:id="60" w:name="_Toc449171925"/>
      <w:bookmarkStart w:id="61" w:name="_Toc449755163"/>
      <w:bookmarkStart w:id="62" w:name="_Toc450117522"/>
      <w:bookmarkStart w:id="63" w:name="_Toc452860130"/>
      <w:bookmarkStart w:id="64" w:name="_Toc474208764"/>
      <w:r w:rsidRPr="00F71E4C">
        <w:t>A</w:t>
      </w:r>
      <w:r w:rsidR="00CB7915" w:rsidRPr="00F71E4C">
        <w:t xml:space="preserve"> </w:t>
      </w:r>
      <w:r w:rsidR="00D576DD">
        <w:t>commercial Sea Cucumber by dive (</w:t>
      </w:r>
      <w:r w:rsidR="00CB7915" w:rsidRPr="00F71E4C">
        <w:t>category ZD</w:t>
      </w:r>
      <w:r w:rsidR="00D576DD">
        <w:t>)</w:t>
      </w:r>
      <w:r w:rsidR="00CB7915" w:rsidRPr="00F71E4C">
        <w:t xml:space="preserve"> or</w:t>
      </w:r>
      <w:r w:rsidR="00656E57">
        <w:t xml:space="preserve"> communal commercial</w:t>
      </w:r>
      <w:r w:rsidR="00CB7915" w:rsidRPr="00F71E4C">
        <w:t xml:space="preserve"> </w:t>
      </w:r>
      <w:r w:rsidR="00656E57">
        <w:t xml:space="preserve">(category </w:t>
      </w:r>
      <w:r w:rsidR="00CB7915" w:rsidRPr="00F71E4C">
        <w:t>FZD</w:t>
      </w:r>
      <w:r w:rsidR="00656E57">
        <w:t>) licence eligibility</w:t>
      </w:r>
      <w:r w:rsidRPr="00F71E4C">
        <w:t xml:space="preserve"> is required to commercially harvest </w:t>
      </w:r>
      <w:r w:rsidR="00CB7915" w:rsidRPr="00F71E4C">
        <w:t>S</w:t>
      </w:r>
      <w:r w:rsidRPr="00F71E4C">
        <w:t xml:space="preserve">ea </w:t>
      </w:r>
      <w:r w:rsidR="00CB7915" w:rsidRPr="00F71E4C">
        <w:t>C</w:t>
      </w:r>
      <w:r w:rsidRPr="00F71E4C">
        <w:t>ucumbers by dive.</w:t>
      </w:r>
    </w:p>
    <w:p w14:paraId="7949D4C2" w14:textId="427ACF82" w:rsidR="00656E57" w:rsidRPr="00F71E4C" w:rsidRDefault="00656E57" w:rsidP="000272DE">
      <w:pPr>
        <w:pStyle w:val="Indent2"/>
        <w:ind w:left="0"/>
      </w:pPr>
      <w:r>
        <w:t xml:space="preserve">Category ZC licence eligibilities are limited entry and party-based. Category FZC </w:t>
      </w:r>
      <w:proofErr w:type="spellStart"/>
      <w:r>
        <w:t>licences</w:t>
      </w:r>
      <w:proofErr w:type="spellEnd"/>
      <w:r>
        <w:t xml:space="preserve"> have a First Nations group as the licence eligibility holder. </w:t>
      </w:r>
    </w:p>
    <w:p w14:paraId="4EF17C8C" w14:textId="77777777" w:rsidR="00E13C54" w:rsidRPr="00F71E4C" w:rsidRDefault="00E13C54" w:rsidP="00F338EE">
      <w:pPr>
        <w:pStyle w:val="Heading2"/>
      </w:pPr>
      <w:bookmarkStart w:id="65" w:name="_Toc145824915"/>
      <w:bookmarkStart w:id="66" w:name="_Toc107404334"/>
      <w:bookmarkEnd w:id="60"/>
      <w:bookmarkEnd w:id="61"/>
      <w:bookmarkEnd w:id="62"/>
      <w:bookmarkEnd w:id="63"/>
      <w:bookmarkEnd w:id="64"/>
      <w:bookmarkEnd w:id="65"/>
      <w:r w:rsidRPr="00F71E4C">
        <w:t>Licence Application and Issuance</w:t>
      </w:r>
      <w:bookmarkEnd w:id="66"/>
    </w:p>
    <w:p w14:paraId="2143F156" w14:textId="77777777" w:rsidR="00574B17" w:rsidRPr="00F71E4C" w:rsidRDefault="00063334" w:rsidP="00C23BE2">
      <w:pPr>
        <w:pStyle w:val="Indent2"/>
        <w:ind w:left="0"/>
      </w:pPr>
      <w:r w:rsidRPr="00F71E4C">
        <w:t>Renewal of a commercial Sea Cucumber licence and p</w:t>
      </w:r>
      <w:r w:rsidR="00C16872" w:rsidRPr="00F71E4C">
        <w:t xml:space="preserve">ayment of fees </w:t>
      </w:r>
      <w:r w:rsidRPr="00F71E4C">
        <w:t>must be done</w:t>
      </w:r>
      <w:r w:rsidR="00C16872" w:rsidRPr="00F71E4C">
        <w:t xml:space="preserve"> on an annual basis </w:t>
      </w:r>
      <w:r w:rsidRPr="00F71E4C">
        <w:t>to retain the privilege to be issued a licence in the future regardless of whether or not fishing is carried out. Those comm</w:t>
      </w:r>
      <w:r w:rsidR="00FA7310" w:rsidRPr="00F71E4C">
        <w:t>ercial Sea C</w:t>
      </w:r>
      <w:r w:rsidRPr="00F71E4C">
        <w:t xml:space="preserve">ucumber </w:t>
      </w:r>
      <w:proofErr w:type="spellStart"/>
      <w:r w:rsidRPr="00F71E4C">
        <w:t>licences</w:t>
      </w:r>
      <w:proofErr w:type="spellEnd"/>
      <w:r w:rsidRPr="00F71E4C">
        <w:t xml:space="preserve"> not renewed by September 30</w:t>
      </w:r>
      <w:r w:rsidRPr="00F71E4C">
        <w:rPr>
          <w:vertAlign w:val="superscript"/>
        </w:rPr>
        <w:t>th</w:t>
      </w:r>
      <w:r w:rsidRPr="00F71E4C">
        <w:t xml:space="preserve"> will cease and licence issuance will be unable to be considered in the future. </w:t>
      </w:r>
    </w:p>
    <w:p w14:paraId="601597CE" w14:textId="1A8F3FDA" w:rsidR="00D576DD" w:rsidRDefault="00D576DD" w:rsidP="00C23BE2">
      <w:pPr>
        <w:pStyle w:val="Indent2"/>
        <w:ind w:left="0"/>
      </w:pPr>
      <w:r>
        <w:lastRenderedPageBreak/>
        <w:t xml:space="preserve">Prior to annual licence issuance licence eligibility holders are required to annually designate the fishing vessel to hold the licence. This must be done by navigating to the ‘Submit a Request’ menu selection within the National Online Licensing System (NOLS). Full instructions are available at: </w:t>
      </w:r>
      <w:hyperlink r:id="rId13" w:history="1">
        <w:r w:rsidRPr="00D576DD">
          <w:rPr>
            <w:rStyle w:val="Hyperlink"/>
          </w:rPr>
          <w:t>http://www.dfo-mpo.gc.ca/fisheries-peches/sdc-cps/products-produits/request-demande-eng.html</w:t>
        </w:r>
      </w:hyperlink>
    </w:p>
    <w:p w14:paraId="56A0F425" w14:textId="77777777" w:rsidR="00C16872" w:rsidRPr="00F71E4C" w:rsidRDefault="00C16872" w:rsidP="00C23BE2">
      <w:pPr>
        <w:pStyle w:val="Indent2"/>
        <w:ind w:left="0"/>
      </w:pPr>
      <w:r w:rsidRPr="00F71E4C">
        <w:t>Prior to licence issuance, licence eligibility holders(s) must:</w:t>
      </w:r>
    </w:p>
    <w:p w14:paraId="77C3041B" w14:textId="21211FC4" w:rsidR="00063334" w:rsidRPr="00F71E4C" w:rsidRDefault="00D576DD" w:rsidP="000501F7">
      <w:pPr>
        <w:pStyle w:val="Indent2"/>
        <w:numPr>
          <w:ilvl w:val="0"/>
          <w:numId w:val="20"/>
        </w:numPr>
      </w:pPr>
      <w:r>
        <w:t>Meet</w:t>
      </w:r>
      <w:r w:rsidR="00C16872" w:rsidRPr="00F71E4C">
        <w:t xml:space="preserve"> any Ministerial conditions placed on</w:t>
      </w:r>
      <w:r>
        <w:t xml:space="preserve"> the licence eligibility</w:t>
      </w:r>
      <w:r w:rsidR="00C16872" w:rsidRPr="00F71E4C">
        <w:t xml:space="preserve">. </w:t>
      </w:r>
    </w:p>
    <w:p w14:paraId="0F8189C1" w14:textId="59CE521B" w:rsidR="00C16872" w:rsidRPr="00F71E4C" w:rsidRDefault="00C16872" w:rsidP="000501F7">
      <w:pPr>
        <w:pStyle w:val="Indent2"/>
        <w:numPr>
          <w:ilvl w:val="0"/>
          <w:numId w:val="20"/>
        </w:numPr>
      </w:pPr>
      <w:r w:rsidRPr="00F71E4C">
        <w:t>Ensure any conditions of the previous year’s licence</w:t>
      </w:r>
      <w:r w:rsidR="00F637DC" w:rsidRPr="00F71E4C">
        <w:t>,</w:t>
      </w:r>
      <w:r w:rsidR="00D576DD">
        <w:t xml:space="preserve"> such as</w:t>
      </w:r>
      <w:r w:rsidRPr="00F71E4C">
        <w:t xml:space="preserve"> submission</w:t>
      </w:r>
      <w:r w:rsidR="00D576DD">
        <w:t xml:space="preserve"> and approval</w:t>
      </w:r>
      <w:r w:rsidRPr="00F71E4C">
        <w:t xml:space="preserve"> of logbooks</w:t>
      </w:r>
      <w:r w:rsidR="00D576DD">
        <w:t xml:space="preserve"> have been met</w:t>
      </w:r>
      <w:r w:rsidRPr="00F71E4C">
        <w:t>.</w:t>
      </w:r>
    </w:p>
    <w:p w14:paraId="778E7405" w14:textId="7FDF50B5" w:rsidR="00C16872" w:rsidRPr="00F71E4C" w:rsidRDefault="00C16872" w:rsidP="000501F7">
      <w:pPr>
        <w:pStyle w:val="Indent2"/>
        <w:numPr>
          <w:ilvl w:val="0"/>
          <w:numId w:val="20"/>
        </w:numPr>
      </w:pPr>
      <w:r w:rsidRPr="00F71E4C">
        <w:t>Designate a registered commercial fishing vessel eligible for a commercial or communal commercial licence for salmon, schedule II, sab</w:t>
      </w:r>
      <w:r w:rsidR="00D576DD">
        <w:t>lefish, halibut, crab, shrimp, P</w:t>
      </w:r>
      <w:r w:rsidRPr="00F71E4C">
        <w:t>raw</w:t>
      </w:r>
      <w:r w:rsidR="00D576DD">
        <w:t>n, G</w:t>
      </w:r>
      <w:r w:rsidRPr="00F71E4C">
        <w:t xml:space="preserve">eoduck or groundfish trawl. </w:t>
      </w:r>
    </w:p>
    <w:p w14:paraId="7BC1D0F8" w14:textId="013B1AA8" w:rsidR="00D576DD" w:rsidRPr="00D576DD" w:rsidRDefault="00D576DD" w:rsidP="000272DE">
      <w:pPr>
        <w:pStyle w:val="Indent2"/>
        <w:ind w:left="0"/>
      </w:pPr>
      <w:r w:rsidRPr="00D576DD">
        <w:t>To avoid delays please ensure the payment and vessel designation information is submitted all at the same time through the ‘Submit a Request’ menu selection within the NOLS.</w:t>
      </w:r>
    </w:p>
    <w:p w14:paraId="2F05EBE3" w14:textId="6C5B0AFF" w:rsidR="00E13C54" w:rsidRPr="00D576DD" w:rsidRDefault="00063334" w:rsidP="000272DE">
      <w:pPr>
        <w:pStyle w:val="Indent2"/>
        <w:ind w:left="0"/>
      </w:pPr>
      <w:r w:rsidRPr="00D576DD">
        <w:t xml:space="preserve">Vessel length restrictions for vessels used to harvest Sea Cucumbers under the IQ programs have been waived by Fisheries and Oceans Canada. Fisheries and Oceans Canada reserves the right to reinstate vessel length restrictions at the lengths associated with each licence eligibility. </w:t>
      </w:r>
    </w:p>
    <w:p w14:paraId="113737EA" w14:textId="77777777" w:rsidR="001658DA" w:rsidRPr="00F71E4C" w:rsidRDefault="006A133D" w:rsidP="000272DE">
      <w:pPr>
        <w:pStyle w:val="Indent2"/>
        <w:ind w:left="0"/>
      </w:pPr>
      <w:r w:rsidRPr="00D576DD">
        <w:t>The stacking limit has been</w:t>
      </w:r>
      <w:r w:rsidR="00647CC1" w:rsidRPr="00D576DD">
        <w:t xml:space="preserve"> discontinued. </w:t>
      </w:r>
      <w:r w:rsidR="001658DA" w:rsidRPr="00D576DD">
        <w:t xml:space="preserve"> </w:t>
      </w:r>
      <w:r w:rsidRPr="00D576DD">
        <w:t>There is</w:t>
      </w:r>
      <w:r w:rsidR="00530657" w:rsidRPr="00D576DD">
        <w:t xml:space="preserve"> no limit on the number of ZD</w:t>
      </w:r>
      <w:r w:rsidR="00217F61" w:rsidRPr="00D576DD">
        <w:t xml:space="preserve"> </w:t>
      </w:r>
      <w:proofErr w:type="spellStart"/>
      <w:r w:rsidR="00217F61" w:rsidRPr="00D576DD">
        <w:t>licences</w:t>
      </w:r>
      <w:proofErr w:type="spellEnd"/>
      <w:r w:rsidR="00530657" w:rsidRPr="00D576DD">
        <w:t xml:space="preserve"> allowed to be designated to a vessel at any given time.  Harvesters should, however, keep in mind that the season is scheduled for only 8 weeks and should plan accordingly. Season extensions will not be granted for harvesters that</w:t>
      </w:r>
      <w:r w:rsidR="003752BF" w:rsidRPr="00D576DD">
        <w:t xml:space="preserve"> have not finished quotas</w:t>
      </w:r>
      <w:r w:rsidR="00530657" w:rsidRPr="00D576DD">
        <w:t xml:space="preserve"> due to </w:t>
      </w:r>
      <w:r w:rsidR="006A50DF" w:rsidRPr="00D576DD">
        <w:t>attempting to complete</w:t>
      </w:r>
      <w:r w:rsidR="00750188" w:rsidRPr="00D576DD">
        <w:t xml:space="preserve"> too </w:t>
      </w:r>
      <w:r w:rsidR="006A50DF" w:rsidRPr="00D576DD">
        <w:t>many Individual Quotas (</w:t>
      </w:r>
      <w:proofErr w:type="spellStart"/>
      <w:r w:rsidR="006A50DF" w:rsidRPr="00D576DD">
        <w:t>licences</w:t>
      </w:r>
      <w:proofErr w:type="spellEnd"/>
      <w:r w:rsidR="006A50DF" w:rsidRPr="00D576DD">
        <w:t>)</w:t>
      </w:r>
      <w:r w:rsidR="00217F61" w:rsidRPr="00D576DD">
        <w:t xml:space="preserve"> within the</w:t>
      </w:r>
      <w:r w:rsidR="00530657" w:rsidRPr="00D576DD">
        <w:t xml:space="preserve"> short 8 week season.</w:t>
      </w:r>
    </w:p>
    <w:p w14:paraId="0E68B453" w14:textId="77777777" w:rsidR="00196D4C" w:rsidRPr="00F71E4C" w:rsidRDefault="00196D4C" w:rsidP="00C23BE2">
      <w:pPr>
        <w:pStyle w:val="Heading2"/>
      </w:pPr>
      <w:bookmarkStart w:id="67" w:name="_Toc360798445"/>
      <w:bookmarkStart w:id="68" w:name="_Toc107404335"/>
      <w:bookmarkEnd w:id="67"/>
      <w:r w:rsidRPr="00F71E4C">
        <w:t>Designation of Harvesters to Fish a Communal Commercial Licence</w:t>
      </w:r>
      <w:bookmarkEnd w:id="68"/>
    </w:p>
    <w:p w14:paraId="61DA7CFD" w14:textId="61052C6F" w:rsidR="00196D4C" w:rsidRPr="00F71E4C" w:rsidRDefault="00196D4C" w:rsidP="00C23BE2">
      <w:r w:rsidRPr="00F71E4C">
        <w:t xml:space="preserve">Under the </w:t>
      </w:r>
      <w:r w:rsidRPr="00F71E4C">
        <w:rPr>
          <w:i/>
        </w:rPr>
        <w:t>Aboriginal Communal Fishing Licence Regulations</w:t>
      </w:r>
      <w:r w:rsidRPr="00F71E4C">
        <w:t>, every person working on a vessel that is fishing under authority of a Communal Commercial Licence must be designated by the First Nation that holds the licence. The designation must be made in writing and include the person’s name and reference the Communal Commercial Licence.</w:t>
      </w:r>
      <w:r w:rsidR="00D576DD">
        <w:t xml:space="preserve"> The designation must be carried on-board and be produced on request of any Fishery Officer.</w:t>
      </w:r>
    </w:p>
    <w:p w14:paraId="15F9CF87" w14:textId="77777777" w:rsidR="00196D4C" w:rsidRPr="00F71E4C" w:rsidRDefault="00196D4C" w:rsidP="00C23BE2">
      <w:r w:rsidRPr="00F71E4C">
        <w:t>First Nations licence holders interested in obtaining an example template to use to designate their fish harvesters may contact a DFO Resource Manager or Pa</w:t>
      </w:r>
      <w:r w:rsidR="00DB603E" w:rsidRPr="00F71E4C">
        <w:t>cific Fishery Licensing Unit office (see Contacts in Appendix 15)</w:t>
      </w:r>
      <w:r w:rsidRPr="00F71E4C">
        <w:t xml:space="preserve"> </w:t>
      </w:r>
    </w:p>
    <w:p w14:paraId="2B9B2AD0" w14:textId="77777777" w:rsidR="00E13C54" w:rsidRPr="00F71E4C" w:rsidRDefault="00E13C54" w:rsidP="007F10D4">
      <w:pPr>
        <w:pStyle w:val="Heading2"/>
      </w:pPr>
      <w:bookmarkStart w:id="69" w:name="_Toc107404336"/>
      <w:r w:rsidRPr="00F71E4C">
        <w:t>Individual Quotas</w:t>
      </w:r>
      <w:r w:rsidR="003C43C5" w:rsidRPr="00F71E4C">
        <w:t xml:space="preserve"> (IQ)</w:t>
      </w:r>
      <w:bookmarkEnd w:id="69"/>
    </w:p>
    <w:p w14:paraId="7AC62CF3" w14:textId="67340039" w:rsidR="00E13C54" w:rsidRPr="00F71E4C" w:rsidRDefault="00E13C54" w:rsidP="000272DE">
      <w:pPr>
        <w:pStyle w:val="Indent2"/>
        <w:ind w:left="0"/>
      </w:pPr>
      <w:r w:rsidRPr="00F71E4C">
        <w:t xml:space="preserve">The holder of </w:t>
      </w:r>
      <w:r w:rsidR="00F637DC" w:rsidRPr="00F71E4C">
        <w:t>a</w:t>
      </w:r>
      <w:r w:rsidR="00ED364D" w:rsidRPr="00F71E4C">
        <w:t xml:space="preserve"> </w:t>
      </w:r>
      <w:r w:rsidR="00F637DC" w:rsidRPr="00F71E4C">
        <w:t>licence</w:t>
      </w:r>
      <w:r w:rsidRPr="00F71E4C">
        <w:t xml:space="preserve"> eligibility to commercial</w:t>
      </w:r>
      <w:r w:rsidR="00684D12" w:rsidRPr="00F71E4C">
        <w:t>ly</w:t>
      </w:r>
      <w:r w:rsidRPr="00F71E4C">
        <w:t xml:space="preserve"> harvest </w:t>
      </w:r>
      <w:r w:rsidR="003D0E01" w:rsidRPr="00F71E4C">
        <w:t>Sea C</w:t>
      </w:r>
      <w:r w:rsidRPr="00F71E4C">
        <w:t xml:space="preserve">ucumbers is provided the </w:t>
      </w:r>
      <w:r w:rsidR="00EE3E31" w:rsidRPr="00F71E4C">
        <w:t xml:space="preserve">opportunity to harvest up to </w:t>
      </w:r>
      <w:r w:rsidR="00C60883" w:rsidRPr="00C60883">
        <w:t>7.2</w:t>
      </w:r>
      <w:r w:rsidRPr="00C60883">
        <w:t xml:space="preserve"> </w:t>
      </w:r>
      <w:proofErr w:type="spellStart"/>
      <w:r w:rsidRPr="00C60883">
        <w:t>tonnes</w:t>
      </w:r>
      <w:proofErr w:type="spellEnd"/>
      <w:r w:rsidRPr="00C60883">
        <w:t xml:space="preserve"> (1</w:t>
      </w:r>
      <w:r w:rsidR="00C60883" w:rsidRPr="00C60883">
        <w:t>6</w:t>
      </w:r>
      <w:r w:rsidR="002269CF" w:rsidRPr="00C60883">
        <w:t>,000</w:t>
      </w:r>
      <w:r w:rsidR="003D0E01" w:rsidRPr="00C60883">
        <w:t xml:space="preserve"> pounds)</w:t>
      </w:r>
      <w:r w:rsidR="003D0E01" w:rsidRPr="00F71E4C">
        <w:t xml:space="preserve"> split weight of Sea C</w:t>
      </w:r>
      <w:r w:rsidRPr="00F71E4C">
        <w:t>ucumbers</w:t>
      </w:r>
      <w:r w:rsidR="007A25E7" w:rsidRPr="00F71E4C">
        <w:t>.</w:t>
      </w:r>
    </w:p>
    <w:p w14:paraId="1FB759BF" w14:textId="77777777" w:rsidR="00E13C54" w:rsidRPr="00F71E4C" w:rsidRDefault="00E13C54" w:rsidP="000272DE">
      <w:pPr>
        <w:pStyle w:val="Indent2"/>
        <w:ind w:left="0"/>
      </w:pPr>
      <w:r w:rsidRPr="00F71E4C">
        <w:t>All diving and fishing operations must take place from the licensed vessel.</w:t>
      </w:r>
      <w:r w:rsidR="00C80965" w:rsidRPr="00F71E4C">
        <w:t xml:space="preserve">  </w:t>
      </w:r>
      <w:r w:rsidRPr="00F71E4C">
        <w:t xml:space="preserve">All </w:t>
      </w:r>
      <w:r w:rsidR="007F10D4" w:rsidRPr="00F71E4C">
        <w:t>products</w:t>
      </w:r>
      <w:r w:rsidRPr="00F71E4C">
        <w:t xml:space="preserve"> must be brought directly onto the licensed vessel following harvest.</w:t>
      </w:r>
      <w:r w:rsidR="00C80965" w:rsidRPr="00F71E4C">
        <w:t xml:space="preserve">  </w:t>
      </w:r>
      <w:r w:rsidRPr="00F71E4C">
        <w:t xml:space="preserve">Vessels used to hold or transport </w:t>
      </w:r>
      <w:r w:rsidR="00FA7310" w:rsidRPr="00F71E4C">
        <w:t>S</w:t>
      </w:r>
      <w:r w:rsidRPr="00F71E4C">
        <w:t xml:space="preserve">ea </w:t>
      </w:r>
      <w:r w:rsidR="00FA7310" w:rsidRPr="00F71E4C">
        <w:lastRenderedPageBreak/>
        <w:t>C</w:t>
      </w:r>
      <w:r w:rsidRPr="00F71E4C">
        <w:t xml:space="preserve">ucumbers must conform to Canadian Food Inspection Agency inspection regulations for holding or transporting fish and have appropriate </w:t>
      </w:r>
      <w:proofErr w:type="spellStart"/>
      <w:r w:rsidRPr="00F71E4C">
        <w:t>licences</w:t>
      </w:r>
      <w:proofErr w:type="spellEnd"/>
      <w:r w:rsidRPr="00F71E4C">
        <w:t>.</w:t>
      </w:r>
    </w:p>
    <w:p w14:paraId="57FAA46A" w14:textId="77777777" w:rsidR="00BD1A00" w:rsidRPr="00F71E4C" w:rsidRDefault="00BD1A00" w:rsidP="00BD1A00">
      <w:pPr>
        <w:pStyle w:val="Heading2"/>
      </w:pPr>
      <w:bookmarkStart w:id="70" w:name="_Toc107404337"/>
      <w:r w:rsidRPr="00F71E4C">
        <w:t>Area Licensing</w:t>
      </w:r>
      <w:bookmarkEnd w:id="70"/>
    </w:p>
    <w:p w14:paraId="35CC7B6C" w14:textId="09932F01" w:rsidR="00120BE9" w:rsidRPr="00F71E4C" w:rsidRDefault="003D0E01" w:rsidP="004102B3">
      <w:pPr>
        <w:pStyle w:val="Indent2"/>
        <w:ind w:left="0"/>
      </w:pPr>
      <w:r w:rsidRPr="00F71E4C">
        <w:t>The commercial Sea C</w:t>
      </w:r>
      <w:r w:rsidR="00BD1A00" w:rsidRPr="00F71E4C">
        <w:t xml:space="preserve">ucumber fishery is licensed over four geographic areas.  Licence eligibilities will be assigned to </w:t>
      </w:r>
      <w:r w:rsidR="005363F8" w:rsidRPr="00F71E4C">
        <w:t>one of the following licence areas:</w:t>
      </w:r>
      <w:r w:rsidR="00BD1A00" w:rsidRPr="00F71E4C">
        <w:t xml:space="preserve"> </w:t>
      </w:r>
      <w:r w:rsidR="00434F28" w:rsidRPr="00F71E4C">
        <w:t>N</w:t>
      </w:r>
      <w:r w:rsidR="00BD1A00" w:rsidRPr="00F71E4C">
        <w:t xml:space="preserve">orth </w:t>
      </w:r>
      <w:r w:rsidR="00434F28" w:rsidRPr="00F71E4C">
        <w:t>C</w:t>
      </w:r>
      <w:r w:rsidR="00BD1A00" w:rsidRPr="00F71E4C">
        <w:t xml:space="preserve">oast, </w:t>
      </w:r>
      <w:r w:rsidR="00434F28" w:rsidRPr="00F71E4C">
        <w:t>C</w:t>
      </w:r>
      <w:r w:rsidR="00BD1A00" w:rsidRPr="00F71E4C">
        <w:t xml:space="preserve">entral </w:t>
      </w:r>
      <w:r w:rsidR="00434F28" w:rsidRPr="00F71E4C">
        <w:t>C</w:t>
      </w:r>
      <w:r w:rsidR="00BD1A00" w:rsidRPr="00F71E4C">
        <w:t xml:space="preserve">oast, </w:t>
      </w:r>
      <w:r w:rsidR="00434F28" w:rsidRPr="00F71E4C">
        <w:t>E</w:t>
      </w:r>
      <w:r w:rsidR="00BD1A00" w:rsidRPr="00F71E4C">
        <w:t xml:space="preserve">ast </w:t>
      </w:r>
      <w:r w:rsidR="00434F28" w:rsidRPr="00F71E4C">
        <w:t>C</w:t>
      </w:r>
      <w:r w:rsidR="00BD1A00" w:rsidRPr="00F71E4C">
        <w:t xml:space="preserve">oast of Vancouver Island or </w:t>
      </w:r>
      <w:r w:rsidR="00434F28" w:rsidRPr="00F71E4C">
        <w:t>W</w:t>
      </w:r>
      <w:r w:rsidR="00BD1A00" w:rsidRPr="00F71E4C">
        <w:t xml:space="preserve">est </w:t>
      </w:r>
      <w:r w:rsidR="00434F28" w:rsidRPr="00F71E4C">
        <w:t>C</w:t>
      </w:r>
      <w:r w:rsidR="00BD1A00" w:rsidRPr="00F71E4C">
        <w:t>oast</w:t>
      </w:r>
      <w:r w:rsidR="00E0689D">
        <w:t xml:space="preserve"> of Vancouver Island.  To maintain</w:t>
      </w:r>
      <w:r w:rsidR="00BD1A00" w:rsidRPr="00F71E4C">
        <w:t xml:space="preserve"> equal </w:t>
      </w:r>
      <w:r w:rsidR="00E0689D">
        <w:t xml:space="preserve">individual </w:t>
      </w:r>
      <w:r w:rsidR="00BD1A00" w:rsidRPr="00F71E4C">
        <w:t>quotas</w:t>
      </w:r>
      <w:r w:rsidR="00E0689D">
        <w:t xml:space="preserve"> coast-wide, the</w:t>
      </w:r>
      <w:r w:rsidR="00BD1A00" w:rsidRPr="00F71E4C">
        <w:t xml:space="preserve"> distribution of </w:t>
      </w:r>
      <w:proofErr w:type="spellStart"/>
      <w:r w:rsidR="00BD1A00" w:rsidRPr="00F71E4C">
        <w:t>licences</w:t>
      </w:r>
      <w:proofErr w:type="spellEnd"/>
      <w:r w:rsidR="00BD1A00" w:rsidRPr="00F71E4C">
        <w:t xml:space="preserve"> will be as follows:</w:t>
      </w:r>
    </w:p>
    <w:tbl>
      <w:tblPr>
        <w:tblW w:w="7513"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2693"/>
      </w:tblGrid>
      <w:tr w:rsidR="00BD1A00" w:rsidRPr="00F71E4C" w14:paraId="1685A2E9" w14:textId="77777777" w:rsidTr="00710431">
        <w:trPr>
          <w:cantSplit/>
          <w:trHeight w:val="402"/>
          <w:tblHeader/>
        </w:trPr>
        <w:tc>
          <w:tcPr>
            <w:tcW w:w="4820" w:type="dxa"/>
          </w:tcPr>
          <w:p w14:paraId="00A7C198" w14:textId="77777777" w:rsidR="00BD1A00" w:rsidRPr="00C60883" w:rsidRDefault="00BD1A00" w:rsidP="003F7578">
            <w:pPr>
              <w:pStyle w:val="Indent2"/>
              <w:spacing w:before="20" w:after="20"/>
              <w:ind w:left="0"/>
              <w:jc w:val="center"/>
              <w:rPr>
                <w:b/>
              </w:rPr>
            </w:pPr>
            <w:r w:rsidRPr="00C60883">
              <w:rPr>
                <w:b/>
              </w:rPr>
              <w:t>Licence Area</w:t>
            </w:r>
          </w:p>
        </w:tc>
        <w:tc>
          <w:tcPr>
            <w:tcW w:w="2693" w:type="dxa"/>
          </w:tcPr>
          <w:p w14:paraId="3EBA9226" w14:textId="77777777" w:rsidR="00BD1A00" w:rsidRPr="00C60883" w:rsidRDefault="00BD1A00" w:rsidP="003F7578">
            <w:pPr>
              <w:pStyle w:val="Indent2"/>
              <w:spacing w:before="20" w:after="20"/>
              <w:ind w:left="0"/>
              <w:jc w:val="center"/>
              <w:rPr>
                <w:b/>
              </w:rPr>
            </w:pPr>
            <w:r w:rsidRPr="00C60883">
              <w:rPr>
                <w:b/>
              </w:rPr>
              <w:t xml:space="preserve">Number of </w:t>
            </w:r>
            <w:proofErr w:type="spellStart"/>
            <w:r w:rsidRPr="00C60883">
              <w:rPr>
                <w:b/>
              </w:rPr>
              <w:t>Licences</w:t>
            </w:r>
            <w:proofErr w:type="spellEnd"/>
          </w:p>
        </w:tc>
      </w:tr>
      <w:tr w:rsidR="00BD1A00" w:rsidRPr="00F71E4C" w14:paraId="6689CCFB" w14:textId="77777777" w:rsidTr="00710431">
        <w:trPr>
          <w:cantSplit/>
          <w:trHeight w:val="261"/>
        </w:trPr>
        <w:tc>
          <w:tcPr>
            <w:tcW w:w="4820" w:type="dxa"/>
          </w:tcPr>
          <w:p w14:paraId="1FC78130" w14:textId="77777777" w:rsidR="00BD1A00" w:rsidRPr="00C60883" w:rsidRDefault="00BD1A00" w:rsidP="00BC3DB9">
            <w:r w:rsidRPr="00C60883">
              <w:t>North Coast (Area</w:t>
            </w:r>
            <w:r w:rsidR="002269CF" w:rsidRPr="00C60883">
              <w:t>s</w:t>
            </w:r>
            <w:r w:rsidR="00B75D77" w:rsidRPr="00C60883">
              <w:t xml:space="preserve"> </w:t>
            </w:r>
            <w:r w:rsidR="00D0681A" w:rsidRPr="00C60883">
              <w:t xml:space="preserve">2, </w:t>
            </w:r>
            <w:r w:rsidR="00B75D77" w:rsidRPr="00C60883">
              <w:t xml:space="preserve">3, </w:t>
            </w:r>
            <w:r w:rsidRPr="00C60883">
              <w:t>4, 5 and 6)</w:t>
            </w:r>
          </w:p>
        </w:tc>
        <w:tc>
          <w:tcPr>
            <w:tcW w:w="2693" w:type="dxa"/>
          </w:tcPr>
          <w:p w14:paraId="43B3DF49" w14:textId="46F6AC2F" w:rsidR="00BD1A00" w:rsidRPr="00C17BFC" w:rsidRDefault="00C07501" w:rsidP="00BC3DB9">
            <w:pPr>
              <w:jc w:val="center"/>
            </w:pPr>
            <w:r w:rsidRPr="00C17BFC">
              <w:t>3</w:t>
            </w:r>
            <w:r w:rsidR="00643045" w:rsidRPr="00C17BFC">
              <w:t>2</w:t>
            </w:r>
          </w:p>
        </w:tc>
      </w:tr>
      <w:tr w:rsidR="00BD1A00" w:rsidRPr="00F71E4C" w14:paraId="01A48D63" w14:textId="77777777" w:rsidTr="00710431">
        <w:trPr>
          <w:cantSplit/>
          <w:trHeight w:val="281"/>
        </w:trPr>
        <w:tc>
          <w:tcPr>
            <w:tcW w:w="4820" w:type="dxa"/>
          </w:tcPr>
          <w:p w14:paraId="4F89B4BD" w14:textId="77777777" w:rsidR="00BD1A00" w:rsidRPr="00C60883" w:rsidRDefault="00BD1A00" w:rsidP="00BC3DB9">
            <w:r w:rsidRPr="00C60883">
              <w:t>Central Coast (Area</w:t>
            </w:r>
            <w:r w:rsidR="002269CF" w:rsidRPr="00C60883">
              <w:t>s</w:t>
            </w:r>
            <w:r w:rsidRPr="00C60883">
              <w:t xml:space="preserve"> 7, 8</w:t>
            </w:r>
            <w:r w:rsidR="00B75D77" w:rsidRPr="00C60883">
              <w:t>, 9</w:t>
            </w:r>
            <w:r w:rsidRPr="00C60883">
              <w:t xml:space="preserve"> and </w:t>
            </w:r>
            <w:r w:rsidR="00B75D77" w:rsidRPr="00C60883">
              <w:t>10</w:t>
            </w:r>
            <w:r w:rsidRPr="00C60883">
              <w:t>)</w:t>
            </w:r>
          </w:p>
        </w:tc>
        <w:tc>
          <w:tcPr>
            <w:tcW w:w="2693" w:type="dxa"/>
          </w:tcPr>
          <w:p w14:paraId="70E7A4A7" w14:textId="0C9D51AF" w:rsidR="00BD1A00" w:rsidRPr="00C17BFC" w:rsidRDefault="005363F8" w:rsidP="00BC3DB9">
            <w:pPr>
              <w:jc w:val="center"/>
            </w:pPr>
            <w:r w:rsidRPr="00C17BFC">
              <w:t>2</w:t>
            </w:r>
            <w:r w:rsidR="00643045" w:rsidRPr="00C17BFC">
              <w:t>9</w:t>
            </w:r>
          </w:p>
        </w:tc>
      </w:tr>
      <w:tr w:rsidR="00BD1A00" w:rsidRPr="00F71E4C" w14:paraId="2DCD8ADA" w14:textId="77777777" w:rsidTr="00710431">
        <w:trPr>
          <w:cantSplit/>
          <w:trHeight w:val="261"/>
        </w:trPr>
        <w:tc>
          <w:tcPr>
            <w:tcW w:w="4820" w:type="dxa"/>
          </w:tcPr>
          <w:p w14:paraId="20D0C60A" w14:textId="77777777" w:rsidR="00BD1A00" w:rsidRPr="00C60883" w:rsidRDefault="00BD1A00" w:rsidP="00BC3DB9">
            <w:r w:rsidRPr="00C60883">
              <w:t>East Coast Vancouver Island</w:t>
            </w:r>
            <w:r w:rsidR="002269CF" w:rsidRPr="00C60883">
              <w:t xml:space="preserve"> (Areas </w:t>
            </w:r>
            <w:r w:rsidR="00D0681A" w:rsidRPr="00C60883">
              <w:t xml:space="preserve">11, </w:t>
            </w:r>
            <w:r w:rsidR="002269CF" w:rsidRPr="00C60883">
              <w:t xml:space="preserve">12, </w:t>
            </w:r>
            <w:r w:rsidRPr="00C60883">
              <w:t>13</w:t>
            </w:r>
            <w:r w:rsidR="002269CF" w:rsidRPr="00C60883">
              <w:t>,</w:t>
            </w:r>
            <w:r w:rsidR="00D0681A" w:rsidRPr="00C60883">
              <w:t xml:space="preserve"> 14, 15,</w:t>
            </w:r>
            <w:r w:rsidR="002269CF" w:rsidRPr="00C60883">
              <w:t xml:space="preserve"> 16 and 18</w:t>
            </w:r>
            <w:r w:rsidRPr="00C60883">
              <w:t>)</w:t>
            </w:r>
          </w:p>
        </w:tc>
        <w:tc>
          <w:tcPr>
            <w:tcW w:w="2693" w:type="dxa"/>
          </w:tcPr>
          <w:p w14:paraId="044A3485" w14:textId="1A75D246" w:rsidR="00BD1A00" w:rsidRPr="00C17BFC" w:rsidRDefault="00643045" w:rsidP="00BC3DB9">
            <w:pPr>
              <w:jc w:val="center"/>
            </w:pPr>
            <w:r w:rsidRPr="00C17BFC">
              <w:t>18</w:t>
            </w:r>
          </w:p>
        </w:tc>
      </w:tr>
      <w:tr w:rsidR="00BD1A00" w:rsidRPr="00F71E4C" w14:paraId="34A7964A" w14:textId="77777777" w:rsidTr="00710431">
        <w:trPr>
          <w:cantSplit/>
          <w:trHeight w:val="281"/>
        </w:trPr>
        <w:tc>
          <w:tcPr>
            <w:tcW w:w="4820" w:type="dxa"/>
          </w:tcPr>
          <w:p w14:paraId="415495B0" w14:textId="7395869A" w:rsidR="00BD1A00" w:rsidRPr="00C60883" w:rsidRDefault="00BD1A00" w:rsidP="00BC3DB9">
            <w:r w:rsidRPr="00C60883">
              <w:t>West Coast Vancouver Island (Area</w:t>
            </w:r>
            <w:r w:rsidR="00CA58D3" w:rsidRPr="00C60883">
              <w:t>s 23,</w:t>
            </w:r>
            <w:r w:rsidRPr="00C60883">
              <w:t xml:space="preserve"> 24</w:t>
            </w:r>
            <w:r w:rsidR="004102B3" w:rsidRPr="00C60883">
              <w:t xml:space="preserve">, </w:t>
            </w:r>
            <w:r w:rsidR="00CA58D3" w:rsidRPr="00C60883">
              <w:t>25</w:t>
            </w:r>
            <w:r w:rsidR="004102B3" w:rsidRPr="00C60883">
              <w:t xml:space="preserve"> and 26</w:t>
            </w:r>
            <w:r w:rsidRPr="00C60883">
              <w:t>)</w:t>
            </w:r>
          </w:p>
        </w:tc>
        <w:tc>
          <w:tcPr>
            <w:tcW w:w="2693" w:type="dxa"/>
          </w:tcPr>
          <w:p w14:paraId="64FF63E1" w14:textId="55F4402F" w:rsidR="00BD1A00" w:rsidRPr="00C17BFC" w:rsidRDefault="00643045" w:rsidP="00BC3DB9">
            <w:pPr>
              <w:jc w:val="center"/>
            </w:pPr>
            <w:r w:rsidRPr="00C17BFC">
              <w:t>6</w:t>
            </w:r>
          </w:p>
        </w:tc>
      </w:tr>
      <w:tr w:rsidR="00BD1A00" w:rsidRPr="00F71E4C" w14:paraId="1DAFDB99" w14:textId="77777777" w:rsidTr="00710431">
        <w:trPr>
          <w:cantSplit/>
          <w:trHeight w:val="281"/>
        </w:trPr>
        <w:tc>
          <w:tcPr>
            <w:tcW w:w="4820" w:type="dxa"/>
          </w:tcPr>
          <w:p w14:paraId="1C3D6FC6" w14:textId="77777777" w:rsidR="00BD1A00" w:rsidRPr="00C60883" w:rsidRDefault="00BD1A00" w:rsidP="00BC3DB9">
            <w:pPr>
              <w:rPr>
                <w:b/>
              </w:rPr>
            </w:pPr>
            <w:r w:rsidRPr="00C60883">
              <w:rPr>
                <w:b/>
              </w:rPr>
              <w:t>Total</w:t>
            </w:r>
          </w:p>
        </w:tc>
        <w:tc>
          <w:tcPr>
            <w:tcW w:w="2693" w:type="dxa"/>
          </w:tcPr>
          <w:p w14:paraId="7BF5BF11" w14:textId="77777777" w:rsidR="00BD1A00" w:rsidRPr="00C17BFC" w:rsidRDefault="00BD1A00" w:rsidP="00BC3DB9">
            <w:pPr>
              <w:jc w:val="center"/>
              <w:rPr>
                <w:b/>
              </w:rPr>
            </w:pPr>
            <w:r w:rsidRPr="00C17BFC">
              <w:rPr>
                <w:b/>
              </w:rPr>
              <w:t>85</w:t>
            </w:r>
          </w:p>
        </w:tc>
      </w:tr>
    </w:tbl>
    <w:p w14:paraId="7E885020" w14:textId="77777777" w:rsidR="00D068CF" w:rsidRPr="00F71E4C" w:rsidRDefault="00D068CF" w:rsidP="00D068CF">
      <w:pPr>
        <w:pStyle w:val="Heading2"/>
      </w:pPr>
      <w:bookmarkStart w:id="71" w:name="_Toc107404338"/>
      <w:r w:rsidRPr="00F71E4C">
        <w:t>Licence Area Selection</w:t>
      </w:r>
      <w:bookmarkEnd w:id="71"/>
    </w:p>
    <w:p w14:paraId="4E76C9C5" w14:textId="1E7EC4BD" w:rsidR="00D068CF" w:rsidRPr="00F71E4C" w:rsidRDefault="00D068CF" w:rsidP="000501F7">
      <w:pPr>
        <w:pStyle w:val="Indent2"/>
        <w:ind w:left="0"/>
      </w:pPr>
      <w:proofErr w:type="spellStart"/>
      <w:r w:rsidRPr="00F71E4C">
        <w:t>Licences</w:t>
      </w:r>
      <w:proofErr w:type="spellEnd"/>
      <w:r w:rsidRPr="00F71E4C">
        <w:t xml:space="preserve"> may need to be moved between licence areas if the TAC in a licence area changes. </w:t>
      </w:r>
      <w:r w:rsidR="00326DCA" w:rsidRPr="00F71E4C">
        <w:t>Currently, t</w:t>
      </w:r>
      <w:r w:rsidRPr="00F71E4C">
        <w:t xml:space="preserve">he Department advises </w:t>
      </w:r>
      <w:r w:rsidR="00326DCA" w:rsidRPr="00F71E4C">
        <w:t xml:space="preserve">the </w:t>
      </w:r>
      <w:r w:rsidRPr="00F71E4C">
        <w:t xml:space="preserve">PSCHA on the number of </w:t>
      </w:r>
      <w:proofErr w:type="spellStart"/>
      <w:r w:rsidRPr="00F71E4C">
        <w:t>licences</w:t>
      </w:r>
      <w:proofErr w:type="spellEnd"/>
      <w:r w:rsidRPr="00F71E4C">
        <w:t xml:space="preserve"> permitted in each licence area and the PSCHA advises the Department on which </w:t>
      </w:r>
      <w:proofErr w:type="spellStart"/>
      <w:r w:rsidRPr="00F71E4C">
        <w:t>licences</w:t>
      </w:r>
      <w:proofErr w:type="spellEnd"/>
      <w:r w:rsidRPr="00F71E4C">
        <w:t xml:space="preserve"> will move each year. If the PSCHA cannot agree on</w:t>
      </w:r>
      <w:r w:rsidR="00326DCA" w:rsidRPr="00F71E4C">
        <w:t xml:space="preserve"> which</w:t>
      </w:r>
      <w:r w:rsidRPr="00F71E4C">
        <w:t xml:space="preserve"> </w:t>
      </w:r>
      <w:proofErr w:type="spellStart"/>
      <w:r w:rsidRPr="00F71E4C">
        <w:t>licence</w:t>
      </w:r>
      <w:r w:rsidR="00326DCA" w:rsidRPr="00F71E4C">
        <w:t>s</w:t>
      </w:r>
      <w:proofErr w:type="spellEnd"/>
      <w:r w:rsidR="00326DCA" w:rsidRPr="00F71E4C">
        <w:t xml:space="preserve"> will move,</w:t>
      </w:r>
      <w:r w:rsidR="004102B3">
        <w:t xml:space="preserve"> the Department may implement a licence area</w:t>
      </w:r>
      <w:r w:rsidRPr="00F71E4C">
        <w:t xml:space="preserve"> selection process</w:t>
      </w:r>
      <w:r w:rsidR="00326DCA" w:rsidRPr="00F71E4C">
        <w:t xml:space="preserve">. </w:t>
      </w:r>
    </w:p>
    <w:p w14:paraId="3E276501" w14:textId="77777777" w:rsidR="00E13C54" w:rsidRPr="00F71E4C" w:rsidRDefault="00E13C54" w:rsidP="00D65544">
      <w:pPr>
        <w:pStyle w:val="Heading2"/>
      </w:pPr>
      <w:bookmarkStart w:id="72" w:name="_Toc107404339"/>
      <w:r w:rsidRPr="00F71E4C">
        <w:t>Licence Documents</w:t>
      </w:r>
      <w:bookmarkEnd w:id="72"/>
    </w:p>
    <w:p w14:paraId="085ABA6C" w14:textId="77777777" w:rsidR="00E13C54" w:rsidRPr="00F71E4C" w:rsidRDefault="00E13C54" w:rsidP="000272DE">
      <w:pPr>
        <w:pStyle w:val="Indent2"/>
        <w:ind w:left="0"/>
      </w:pPr>
      <w:r w:rsidRPr="00F71E4C">
        <w:t xml:space="preserve">Sea </w:t>
      </w:r>
      <w:r w:rsidR="00FA7310" w:rsidRPr="00F71E4C">
        <w:t>C</w:t>
      </w:r>
      <w:r w:rsidRPr="00F71E4C">
        <w:t xml:space="preserve">ucumber licence documents are valid from the date of issue to September 30 of </w:t>
      </w:r>
      <w:r w:rsidR="000817EC" w:rsidRPr="00F71E4C">
        <w:t>the following</w:t>
      </w:r>
      <w:r w:rsidRPr="00F71E4C">
        <w:t xml:space="preserve"> calendar year.</w:t>
      </w:r>
    </w:p>
    <w:p w14:paraId="1BAE79A8" w14:textId="77777777" w:rsidR="00E13C54" w:rsidRPr="0031331F" w:rsidRDefault="00E13C54" w:rsidP="00ED3594">
      <w:pPr>
        <w:pStyle w:val="Heading2"/>
        <w:widowControl w:val="0"/>
      </w:pPr>
      <w:bookmarkStart w:id="73" w:name="_Toc392140322"/>
      <w:bookmarkStart w:id="74" w:name="_Toc392149755"/>
      <w:bookmarkStart w:id="75" w:name="_Toc395012222"/>
      <w:bookmarkStart w:id="76" w:name="_Toc107404340"/>
      <w:bookmarkEnd w:id="73"/>
      <w:bookmarkEnd w:id="74"/>
      <w:bookmarkEnd w:id="75"/>
      <w:r w:rsidRPr="0031331F">
        <w:t xml:space="preserve">Vessel </w:t>
      </w:r>
      <w:r w:rsidR="004E0D49" w:rsidRPr="0031331F">
        <w:t>Re</w:t>
      </w:r>
      <w:r w:rsidR="003C43C5" w:rsidRPr="0031331F">
        <w:t>-</w:t>
      </w:r>
      <w:r w:rsidR="004E0D49" w:rsidRPr="0031331F">
        <w:t>designation</w:t>
      </w:r>
      <w:bookmarkEnd w:id="76"/>
    </w:p>
    <w:p w14:paraId="0F7DF342" w14:textId="571BBF03" w:rsidR="00E13C54" w:rsidRPr="0031331F" w:rsidRDefault="00390EF7" w:rsidP="000272DE">
      <w:pPr>
        <w:pStyle w:val="Indent2"/>
        <w:ind w:left="0"/>
      </w:pPr>
      <w:r w:rsidRPr="0031331F">
        <w:t>Re</w:t>
      </w:r>
      <w:r w:rsidR="003C43C5" w:rsidRPr="0031331F">
        <w:t>-</w:t>
      </w:r>
      <w:r w:rsidRPr="0031331F">
        <w:t xml:space="preserve">designation of </w:t>
      </w:r>
      <w:r w:rsidR="00ED4DFA" w:rsidRPr="0031331F">
        <w:t>S</w:t>
      </w:r>
      <w:r w:rsidRPr="0031331F">
        <w:t xml:space="preserve">ea </w:t>
      </w:r>
      <w:r w:rsidR="00ED4DFA" w:rsidRPr="0031331F">
        <w:t>C</w:t>
      </w:r>
      <w:r w:rsidRPr="0031331F">
        <w:t xml:space="preserve">ucumber </w:t>
      </w:r>
      <w:proofErr w:type="spellStart"/>
      <w:r w:rsidRPr="0031331F">
        <w:t>li</w:t>
      </w:r>
      <w:r w:rsidR="0031331F" w:rsidRPr="0031331F">
        <w:t>cences</w:t>
      </w:r>
      <w:proofErr w:type="spellEnd"/>
      <w:r w:rsidR="0031331F" w:rsidRPr="0031331F">
        <w:t xml:space="preserve"> is allowed as long as any</w:t>
      </w:r>
      <w:r w:rsidRPr="0031331F">
        <w:t xml:space="preserve"> Condition of Licence</w:t>
      </w:r>
      <w:r w:rsidR="002F6812" w:rsidRPr="0031331F">
        <w:t>,</w:t>
      </w:r>
      <w:r w:rsidRPr="0031331F">
        <w:t xml:space="preserve"> such as the completion of logbooks have been met and accepted by the Shellfish Data Unit.  </w:t>
      </w:r>
    </w:p>
    <w:p w14:paraId="6DE9DA8E" w14:textId="3457A5ED" w:rsidR="005A7926" w:rsidRPr="0031331F" w:rsidRDefault="005A7926" w:rsidP="000272DE">
      <w:pPr>
        <w:pStyle w:val="Indent2"/>
        <w:ind w:left="0"/>
      </w:pPr>
      <w:r w:rsidRPr="0031331F">
        <w:t>Navigate to ‘Submit a Request’ Re-Designate a vessel. F</w:t>
      </w:r>
      <w:r w:rsidR="0031331F" w:rsidRPr="0031331F">
        <w:t>ull instructions can be found:</w:t>
      </w:r>
      <w:r w:rsidRPr="0031331F">
        <w:t xml:space="preserve"> </w:t>
      </w:r>
    </w:p>
    <w:p w14:paraId="218549FE" w14:textId="6C12B2A6" w:rsidR="0031331F" w:rsidRPr="0031331F" w:rsidRDefault="00EA2639" w:rsidP="000272DE">
      <w:pPr>
        <w:pStyle w:val="Indent2"/>
        <w:ind w:left="0"/>
      </w:pPr>
      <w:hyperlink r:id="rId14" w:history="1">
        <w:r w:rsidR="0031331F" w:rsidRPr="0031331F">
          <w:rPr>
            <w:rStyle w:val="Hyperlink"/>
          </w:rPr>
          <w:t>Online Licensing - Submitting a Request and Checking the Request Status (dfo-mpo.gc.ca)</w:t>
        </w:r>
      </w:hyperlink>
    </w:p>
    <w:p w14:paraId="21EE57CA" w14:textId="77777777" w:rsidR="00E13C54" w:rsidRPr="00F71E4C" w:rsidRDefault="00E13C54" w:rsidP="00C546A0">
      <w:pPr>
        <w:pStyle w:val="Heading2"/>
      </w:pPr>
      <w:bookmarkStart w:id="77" w:name="_Toc107404341"/>
      <w:r w:rsidRPr="00F71E4C">
        <w:t>Licence Eligibility Nominations</w:t>
      </w:r>
      <w:bookmarkEnd w:id="77"/>
    </w:p>
    <w:p w14:paraId="4FAAA910" w14:textId="77777777" w:rsidR="00DB603E" w:rsidRPr="0031331F" w:rsidRDefault="00DB603E" w:rsidP="000272DE">
      <w:pPr>
        <w:pStyle w:val="Indent2"/>
        <w:ind w:left="0"/>
      </w:pPr>
      <w:r w:rsidRPr="0031331F">
        <w:t xml:space="preserve">Category ZD Sea Cucumber licence eligibilities may be nominated from one party to another. Nominations must be completed and submitted to the Pacific Fishery Licence Unit via the National Online Licensing System (NOLS) by the licence holder. Notarized application </w:t>
      </w:r>
      <w:r w:rsidRPr="0031331F">
        <w:lastRenderedPageBreak/>
        <w:t xml:space="preserve">‘Nomination for Party-Based Licence Eligibility’. Scan the document and attach it to a ‘Submit Request’ in NOLS. PDF or standard picture formats are accepted (jpg, etc.). </w:t>
      </w:r>
    </w:p>
    <w:p w14:paraId="6124ABFE" w14:textId="77777777" w:rsidR="00390EF7" w:rsidRPr="0031331F" w:rsidRDefault="00390EF7" w:rsidP="000272DE">
      <w:pPr>
        <w:pStyle w:val="Indent2"/>
        <w:ind w:left="0"/>
      </w:pPr>
      <w:r w:rsidRPr="0031331F">
        <w:t>The following requirements must be met:</w:t>
      </w:r>
    </w:p>
    <w:p w14:paraId="56E71FAA" w14:textId="77777777" w:rsidR="00390EF7" w:rsidRPr="0031331F" w:rsidRDefault="00390EF7" w:rsidP="00C23BE2">
      <w:pPr>
        <w:pStyle w:val="Indent2"/>
        <w:ind w:left="0"/>
      </w:pPr>
      <w:r w:rsidRPr="0031331F">
        <w:t>a)</w:t>
      </w:r>
      <w:r w:rsidR="00DB603E" w:rsidRPr="0031331F">
        <w:t xml:space="preserve">  </w:t>
      </w:r>
      <w:r w:rsidRPr="0031331F">
        <w:t>Any Condition of Licence</w:t>
      </w:r>
      <w:r w:rsidR="00F637DC" w:rsidRPr="0031331F">
        <w:t>,</w:t>
      </w:r>
      <w:r w:rsidRPr="0031331F">
        <w:t xml:space="preserve"> such as the completion of logbooks</w:t>
      </w:r>
      <w:r w:rsidR="00F637DC" w:rsidRPr="0031331F">
        <w:t>,</w:t>
      </w:r>
      <w:r w:rsidRPr="0031331F">
        <w:t xml:space="preserve"> have been submitted and approved by the Shellfish Data Unit.</w:t>
      </w:r>
    </w:p>
    <w:p w14:paraId="7BB6A847" w14:textId="30B02953" w:rsidR="00E13C54" w:rsidRPr="0031331F" w:rsidRDefault="00390EF7" w:rsidP="00C23BE2">
      <w:pPr>
        <w:pStyle w:val="Indent2"/>
        <w:ind w:left="0"/>
      </w:pPr>
      <w:r w:rsidRPr="0031331F">
        <w:t>b)</w:t>
      </w:r>
      <w:r w:rsidR="00DB603E" w:rsidRPr="0031331F">
        <w:t xml:space="preserve">  </w:t>
      </w:r>
      <w:r w:rsidRPr="0031331F">
        <w:t>C</w:t>
      </w:r>
      <w:r w:rsidR="00AB7332" w:rsidRPr="0031331F">
        <w:t>ommunal commercial (category FZD</w:t>
      </w:r>
      <w:r w:rsidRPr="0031331F">
        <w:t xml:space="preserve">) licence eligibilities </w:t>
      </w:r>
      <w:r w:rsidR="0031331F" w:rsidRPr="0031331F">
        <w:t>are not eligible for Nomination.</w:t>
      </w:r>
    </w:p>
    <w:p w14:paraId="29629EBC" w14:textId="77777777" w:rsidR="00E13C54" w:rsidRPr="00F71E4C" w:rsidRDefault="00E13C54" w:rsidP="0038733C">
      <w:pPr>
        <w:pStyle w:val="Heading2"/>
      </w:pPr>
      <w:bookmarkStart w:id="78" w:name="_Toc107404342"/>
      <w:r w:rsidRPr="00F71E4C">
        <w:t>Licence to Transport Sea Cucumbers</w:t>
      </w:r>
      <w:bookmarkEnd w:id="78"/>
    </w:p>
    <w:p w14:paraId="47705E59" w14:textId="3CDCDA32" w:rsidR="00E13C54" w:rsidRPr="00F71E4C" w:rsidRDefault="00E13C54" w:rsidP="000272DE">
      <w:pPr>
        <w:pStyle w:val="Indent2"/>
        <w:ind w:left="0"/>
      </w:pPr>
      <w:r w:rsidRPr="00F71E4C">
        <w:t xml:space="preserve">Any registered vessel with a commercial or communal </w:t>
      </w:r>
      <w:r w:rsidR="00A00FA3" w:rsidRPr="00F71E4C">
        <w:t xml:space="preserve">commercial </w:t>
      </w:r>
      <w:r w:rsidRPr="00F71E4C">
        <w:t xml:space="preserve">salmon, </w:t>
      </w:r>
      <w:r w:rsidR="003226EA" w:rsidRPr="00F71E4C">
        <w:t>S</w:t>
      </w:r>
      <w:r w:rsidRPr="00F71E4C">
        <w:t xml:space="preserve">chedule II, geoduck, sablefish, </w:t>
      </w:r>
      <w:r w:rsidR="00EE3E31" w:rsidRPr="00F71E4C">
        <w:t xml:space="preserve">halibut, </w:t>
      </w:r>
      <w:r w:rsidRPr="00F71E4C">
        <w:t xml:space="preserve">crab, shrimp, groundfish </w:t>
      </w:r>
      <w:r w:rsidR="00EE3E31" w:rsidRPr="00F71E4C">
        <w:t xml:space="preserve">trawl </w:t>
      </w:r>
      <w:r w:rsidR="00D576DD">
        <w:t>and P</w:t>
      </w:r>
      <w:r w:rsidRPr="00F71E4C">
        <w:t>rawn licence</w:t>
      </w:r>
      <w:r w:rsidR="000F29CC" w:rsidRPr="00F71E4C">
        <w:t>;</w:t>
      </w:r>
      <w:r w:rsidRPr="00F71E4C">
        <w:t xml:space="preserve"> </w:t>
      </w:r>
      <w:r w:rsidR="00A00FA3" w:rsidRPr="00F71E4C">
        <w:t>a current year transporting,</w:t>
      </w:r>
      <w:r w:rsidRPr="00F71E4C">
        <w:t xml:space="preserve"> category D</w:t>
      </w:r>
      <w:r w:rsidR="00A00FA3" w:rsidRPr="00F71E4C">
        <w:t>,</w:t>
      </w:r>
      <w:r w:rsidRPr="00F71E4C">
        <w:t xml:space="preserve"> or a herring seine </w:t>
      </w:r>
      <w:r w:rsidR="00876C70" w:rsidRPr="00F71E4C">
        <w:t xml:space="preserve">(HS) </w:t>
      </w:r>
      <w:r w:rsidRPr="00F71E4C">
        <w:t xml:space="preserve">licence may transport </w:t>
      </w:r>
      <w:r w:rsidR="00ED4DFA" w:rsidRPr="00F71E4C">
        <w:t>S</w:t>
      </w:r>
      <w:r w:rsidRPr="00F71E4C">
        <w:t xml:space="preserve">ea </w:t>
      </w:r>
      <w:r w:rsidR="00ED4DFA" w:rsidRPr="00F71E4C">
        <w:t>C</w:t>
      </w:r>
      <w:r w:rsidRPr="00F71E4C">
        <w:t>ucumbers under Conditions of Licence which are included</w:t>
      </w:r>
      <w:r w:rsidR="000F29CC" w:rsidRPr="00F71E4C">
        <w:t xml:space="preserve"> with all vessel-based </w:t>
      </w:r>
      <w:proofErr w:type="spellStart"/>
      <w:r w:rsidR="000F29CC" w:rsidRPr="00F71E4C">
        <w:t>licences</w:t>
      </w:r>
      <w:proofErr w:type="spellEnd"/>
      <w:r w:rsidR="00D576DD">
        <w:t xml:space="preserve"> issued for the current fishing year</w:t>
      </w:r>
      <w:r w:rsidR="00700361" w:rsidRPr="00F71E4C">
        <w:t>.  F</w:t>
      </w:r>
      <w:r w:rsidRPr="00F71E4C">
        <w:t>or further information contact the Pacific Fishery Licence Unit.</w:t>
      </w:r>
    </w:p>
    <w:p w14:paraId="3CE0642F" w14:textId="77777777" w:rsidR="00D664AA" w:rsidRPr="00F71E4C" w:rsidRDefault="00D664AA" w:rsidP="000272DE">
      <w:pPr>
        <w:pStyle w:val="Indent2"/>
        <w:ind w:left="0"/>
      </w:pPr>
      <w:r w:rsidRPr="00F71E4C">
        <w:rPr>
          <w:b/>
        </w:rPr>
        <w:t>Note:</w:t>
      </w:r>
      <w:r w:rsidRPr="00F71E4C">
        <w:t xml:space="preserve"> When product is transferred from one vessel to another vessel or a vehicle, that vessel or vehicle requires a provincial Fish Buying Station licence.  This licence is required for all types of vessels an</w:t>
      </w:r>
      <w:r w:rsidR="002F6812" w:rsidRPr="00F71E4C">
        <w:t>d</w:t>
      </w:r>
      <w:r w:rsidRPr="00F71E4C">
        <w:t xml:space="preserve"> vehicles including aircraft.  The licence may also be required for personal vehicles in some instances, when a vehicle is carrying the catch from more</w:t>
      </w:r>
      <w:r w:rsidR="00923E89" w:rsidRPr="00F71E4C">
        <w:t xml:space="preserve"> than one vessel, even if</w:t>
      </w:r>
      <w:r w:rsidRPr="00F71E4C">
        <w:t xml:space="preserve"> the licence holder owns both vessels.  </w:t>
      </w:r>
      <w:r w:rsidR="00A00AB6" w:rsidRPr="00F71E4C">
        <w:t>Fish harvesters</w:t>
      </w:r>
      <w:r w:rsidRPr="00F71E4C">
        <w:t xml:space="preserve"> should</w:t>
      </w:r>
      <w:r w:rsidR="00952F46" w:rsidRPr="00F71E4C">
        <w:t xml:space="preserve"> check the Province of British Columbia’s website for additional information:</w:t>
      </w:r>
      <w:r w:rsidRPr="00F71E4C">
        <w:t xml:space="preserve"> </w:t>
      </w:r>
    </w:p>
    <w:p w14:paraId="07702F7A" w14:textId="77777777" w:rsidR="00952F46" w:rsidRPr="0031331F" w:rsidRDefault="00EA2639" w:rsidP="000272DE">
      <w:pPr>
        <w:pStyle w:val="Indent2"/>
        <w:ind w:left="0"/>
      </w:pPr>
      <w:hyperlink r:id="rId15" w:history="1">
        <w:r w:rsidR="00952F46" w:rsidRPr="0031331F">
          <w:rPr>
            <w:rStyle w:val="Hyperlink"/>
          </w:rPr>
          <w:t>http://www2.gov.bc.ca/gov/content/industry/agriculture-seafood/fisheries-and-aquaculture/seafood-industry-licensing</w:t>
        </w:r>
      </w:hyperlink>
    </w:p>
    <w:p w14:paraId="75DA0AF9" w14:textId="77777777" w:rsidR="00E13C54" w:rsidRPr="00F71E4C" w:rsidRDefault="00E13C54" w:rsidP="0038733C">
      <w:pPr>
        <w:pStyle w:val="Heading2"/>
      </w:pPr>
      <w:bookmarkStart w:id="79" w:name="_Toc107404343"/>
      <w:r w:rsidRPr="00F71E4C">
        <w:t>Processing</w:t>
      </w:r>
      <w:bookmarkEnd w:id="79"/>
    </w:p>
    <w:p w14:paraId="48E3E060" w14:textId="04791783" w:rsidR="00E13C54" w:rsidRDefault="00E13C54" w:rsidP="000272DE">
      <w:pPr>
        <w:pStyle w:val="Indent2"/>
        <w:ind w:left="0"/>
      </w:pPr>
      <w:r w:rsidRPr="00F71E4C">
        <w:t xml:space="preserve">Effective June 1998, any processing beyond that permitted in Section 14 </w:t>
      </w:r>
      <w:r w:rsidR="00615BCB" w:rsidRPr="00F71E4C">
        <w:t xml:space="preserve">of the </w:t>
      </w:r>
      <w:r w:rsidR="00615BCB" w:rsidRPr="00F71E4C">
        <w:rPr>
          <w:i/>
        </w:rPr>
        <w:t>Fish Inspection Regulations</w:t>
      </w:r>
      <w:r w:rsidRPr="00F71E4C">
        <w:t xml:space="preserve"> must be done in a registered fish processing facility and in full compliance with a Quality Management Program (QMP).</w:t>
      </w:r>
    </w:p>
    <w:p w14:paraId="6C7C25EA" w14:textId="232F42EF" w:rsidR="008F4481" w:rsidRPr="00F71E4C" w:rsidRDefault="008F4481" w:rsidP="008F4481">
      <w:pPr>
        <w:pStyle w:val="Heading2"/>
      </w:pPr>
      <w:r>
        <w:t>Licence Renewal Fees</w:t>
      </w:r>
    </w:p>
    <w:p w14:paraId="5B3A1730" w14:textId="2C427935" w:rsidR="008F4481" w:rsidRDefault="008F4481" w:rsidP="008F4481">
      <w:pPr>
        <w:pStyle w:val="Indent2"/>
        <w:ind w:left="0"/>
      </w:pPr>
      <w:r>
        <w:t xml:space="preserve">In accordance with the Service Fees Act, annual licence renewal fees will be adjusted by the annual rate of inflation determined by the Consumer Price Index (CPI) published by Statistics Canada. The commercial Sea Cucumber (Category ZD) licence renewal fee may be found on the following link: </w:t>
      </w:r>
      <w:hyperlink r:id="rId16" w:history="1">
        <w:r w:rsidRPr="009718C9">
          <w:rPr>
            <w:rStyle w:val="Hyperlink"/>
          </w:rPr>
          <w:t>https://www.pac.dfo-mpo.gc.ca/fm-gp/licence-permis/fees-frais-22-23-eng.html</w:t>
        </w:r>
      </w:hyperlink>
    </w:p>
    <w:p w14:paraId="3487C20D" w14:textId="165801ED" w:rsidR="008F4481" w:rsidRPr="00F71E4C" w:rsidRDefault="008F4481" w:rsidP="000272DE">
      <w:pPr>
        <w:pStyle w:val="Indent2"/>
        <w:ind w:left="0"/>
      </w:pPr>
      <w:r>
        <w:t xml:space="preserve">There is no annual licence renewal fee for communal commercial category FZD </w:t>
      </w:r>
      <w:proofErr w:type="spellStart"/>
      <w:r>
        <w:t>licences</w:t>
      </w:r>
      <w:proofErr w:type="spellEnd"/>
      <w:r w:rsidRPr="00F71E4C">
        <w:t>.</w:t>
      </w:r>
    </w:p>
    <w:p w14:paraId="6923AEB2" w14:textId="77777777" w:rsidR="0073450B" w:rsidRPr="00F71E4C" w:rsidRDefault="0073450B" w:rsidP="00841786">
      <w:pPr>
        <w:pStyle w:val="Heading1"/>
        <w:widowControl w:val="0"/>
      </w:pPr>
      <w:bookmarkStart w:id="80" w:name="_Toc107404344"/>
      <w:bookmarkEnd w:id="49"/>
      <w:bookmarkEnd w:id="50"/>
      <w:r w:rsidRPr="00F71E4C">
        <w:t xml:space="preserve">control </w:t>
      </w:r>
      <w:smartTag w:uri="urn:schemas-microsoft-com:office:smarttags" w:element="stockticker">
        <w:r w:rsidRPr="00F71E4C">
          <w:t>and</w:t>
        </w:r>
      </w:smartTag>
      <w:r w:rsidRPr="00F71E4C">
        <w:t xml:space="preserve"> monitoring of commercial fishing activities</w:t>
      </w:r>
      <w:bookmarkEnd w:id="80"/>
    </w:p>
    <w:p w14:paraId="18F1CB1E" w14:textId="77777777" w:rsidR="0073450B" w:rsidRPr="00F71E4C" w:rsidRDefault="0073450B" w:rsidP="00841786">
      <w:pPr>
        <w:pStyle w:val="Indent1"/>
        <w:widowControl w:val="0"/>
      </w:pPr>
      <w:bookmarkStart w:id="81" w:name="_Toc429207366"/>
      <w:r w:rsidRPr="00F71E4C">
        <w:t xml:space="preserve">To accompany the IQ program, an industry-funded catch monitoring and validation program was developed collaboratively between </w:t>
      </w:r>
      <w:r w:rsidR="006A50DF" w:rsidRPr="00F71E4C">
        <w:t xml:space="preserve">the </w:t>
      </w:r>
      <w:r w:rsidRPr="00F71E4C">
        <w:t>PSCHA and Fisheries and Oceans Canada.</w:t>
      </w:r>
    </w:p>
    <w:p w14:paraId="0F09F952" w14:textId="77777777" w:rsidR="0073450B" w:rsidRPr="00F71E4C" w:rsidRDefault="00A00AB6" w:rsidP="00354DB5">
      <w:pPr>
        <w:pStyle w:val="Indent1"/>
      </w:pPr>
      <w:r w:rsidRPr="00F71E4C">
        <w:lastRenderedPageBreak/>
        <w:t>Fish harvesters</w:t>
      </w:r>
      <w:r w:rsidR="0073450B" w:rsidRPr="00F71E4C">
        <w:t xml:space="preserve"> are required to report harvest time and location information to a designated service </w:t>
      </w:r>
      <w:r w:rsidR="00267C55" w:rsidRPr="00F71E4C">
        <w:t>provider</w:t>
      </w:r>
      <w:r w:rsidR="0073450B" w:rsidRPr="00F71E4C">
        <w:t xml:space="preserve"> prior to fishing, following fishing, and prior to landing </w:t>
      </w:r>
      <w:r w:rsidR="00ED4DFA" w:rsidRPr="00F71E4C">
        <w:t>S</w:t>
      </w:r>
      <w:r w:rsidR="0073450B" w:rsidRPr="00F71E4C">
        <w:t xml:space="preserve">ea </w:t>
      </w:r>
      <w:r w:rsidR="00ED4DFA" w:rsidRPr="00F71E4C">
        <w:t>C</w:t>
      </w:r>
      <w:r w:rsidR="0073450B" w:rsidRPr="00F71E4C">
        <w:t>ucumbers</w:t>
      </w:r>
      <w:r w:rsidR="00700361" w:rsidRPr="00F71E4C">
        <w:t>.  I</w:t>
      </w:r>
      <w:r w:rsidR="0073450B" w:rsidRPr="00F71E4C">
        <w:t xml:space="preserve">n order to track daily harvests and ensure that </w:t>
      </w:r>
      <w:r w:rsidR="003C7CA6" w:rsidRPr="00F71E4C">
        <w:t>Quota Management A</w:t>
      </w:r>
      <w:r w:rsidR="0073450B" w:rsidRPr="00F71E4C">
        <w:t>rea quotas are not exceeded, all catch must be weighed and validated at the first point of landing by a Fisheries and Oceans Canada certified observer.</w:t>
      </w:r>
    </w:p>
    <w:p w14:paraId="0CAE73D7" w14:textId="4BA20B72" w:rsidR="0073450B" w:rsidRPr="00F71E4C" w:rsidRDefault="0073450B" w:rsidP="00354DB5">
      <w:pPr>
        <w:pStyle w:val="Indent1"/>
      </w:pPr>
      <w:r w:rsidRPr="00F71E4C">
        <w:t xml:space="preserve">The agency (service </w:t>
      </w:r>
      <w:r w:rsidR="00267C55" w:rsidRPr="00F71E4C">
        <w:t>provider</w:t>
      </w:r>
      <w:r w:rsidRPr="00F71E4C">
        <w:t xml:space="preserve">) contracted by the </w:t>
      </w:r>
      <w:r w:rsidR="00676F18" w:rsidRPr="00F71E4C">
        <w:t>PSCHA</w:t>
      </w:r>
      <w:r w:rsidRPr="00F71E4C">
        <w:t xml:space="preserve"> to provide notification, validation, biological sampling</w:t>
      </w:r>
      <w:r w:rsidR="00F92E49" w:rsidRPr="00F71E4C">
        <w:t>,</w:t>
      </w:r>
      <w:r w:rsidRPr="00F71E4C">
        <w:t xml:space="preserve"> and data services for the </w:t>
      </w:r>
      <w:r w:rsidR="00AE0818">
        <w:t>202</w:t>
      </w:r>
      <w:r w:rsidR="00FB18E2">
        <w:t>2</w:t>
      </w:r>
      <w:r w:rsidR="00F028F5" w:rsidRPr="00F71E4C">
        <w:t>/20</w:t>
      </w:r>
      <w:r w:rsidR="00AE0818">
        <w:t>2</w:t>
      </w:r>
      <w:r w:rsidR="00FB18E2">
        <w:t>3</w:t>
      </w:r>
      <w:r w:rsidRPr="00F71E4C">
        <w:t xml:space="preserve"> </w:t>
      </w:r>
      <w:r w:rsidR="00ED4DFA" w:rsidRPr="00F71E4C">
        <w:t>S</w:t>
      </w:r>
      <w:r w:rsidRPr="00F71E4C">
        <w:t xml:space="preserve">ea </w:t>
      </w:r>
      <w:r w:rsidR="00ED4DFA" w:rsidRPr="00F71E4C">
        <w:t>C</w:t>
      </w:r>
      <w:r w:rsidRPr="00F71E4C">
        <w:t>ucumber fishery is:</w:t>
      </w:r>
    </w:p>
    <w:p w14:paraId="1B9EC9A9" w14:textId="77777777" w:rsidR="0073450B" w:rsidRPr="00F71E4C" w:rsidRDefault="0073450B" w:rsidP="007501F2">
      <w:pPr>
        <w:pStyle w:val="Indent4"/>
      </w:pPr>
      <w:r w:rsidRPr="00F71E4C">
        <w:t>D&amp;D Pacific Fisheries Ltd.</w:t>
      </w:r>
    </w:p>
    <w:p w14:paraId="35AB27F8" w14:textId="77777777" w:rsidR="0073450B" w:rsidRPr="00F71E4C" w:rsidRDefault="0073450B" w:rsidP="007501F2">
      <w:pPr>
        <w:pStyle w:val="Indent4"/>
      </w:pPr>
      <w:r w:rsidRPr="00F71E4C">
        <w:t xml:space="preserve">Box 1445, </w:t>
      </w:r>
      <w:proofErr w:type="spellStart"/>
      <w:r w:rsidRPr="00F71E4C">
        <w:t>Gibsons</w:t>
      </w:r>
      <w:proofErr w:type="spellEnd"/>
      <w:r w:rsidRPr="00F71E4C">
        <w:t>, BC</w:t>
      </w:r>
      <w:r w:rsidR="00DE5B8E" w:rsidRPr="00F71E4C">
        <w:t xml:space="preserve">  </w:t>
      </w:r>
      <w:r w:rsidRPr="00F71E4C">
        <w:t>V0N 1V0</w:t>
      </w:r>
    </w:p>
    <w:p w14:paraId="02292B31" w14:textId="77777777" w:rsidR="0073450B" w:rsidRPr="00F71E4C" w:rsidRDefault="0073450B" w:rsidP="007501F2">
      <w:pPr>
        <w:pStyle w:val="Indent4"/>
      </w:pPr>
      <w:r w:rsidRPr="00F71E4C">
        <w:t xml:space="preserve">Tel. </w:t>
      </w:r>
      <w:smartTag w:uri="urn:schemas-microsoft-com:office:smarttags" w:element="phone">
        <w:smartTagPr>
          <w:attr w:name="phonenumber" w:val="$6886$$$"/>
          <w:attr w:uri="urn:schemas-microsoft-com:office:office" w:name="ls" w:val="trans"/>
        </w:smartTagPr>
        <w:r w:rsidRPr="00F71E4C">
          <w:t xml:space="preserve">(604) </w:t>
        </w:r>
        <w:smartTag w:uri="urn:schemas-microsoft-com:office:smarttags" w:element="phone">
          <w:smartTagPr>
            <w:attr w:name="phonenumber" w:val="$6886$$$"/>
            <w:attr w:uri="urn:schemas-microsoft-com:office:office" w:name="ls" w:val="trans"/>
          </w:smartTagPr>
          <w:r w:rsidRPr="00F71E4C">
            <w:t>886-4819</w:t>
          </w:r>
        </w:smartTag>
      </w:smartTag>
    </w:p>
    <w:p w14:paraId="006A9EF7" w14:textId="77777777" w:rsidR="0073450B" w:rsidRPr="00F71E4C" w:rsidRDefault="0073450B" w:rsidP="007501F2">
      <w:pPr>
        <w:pStyle w:val="Indent4"/>
      </w:pPr>
      <w:r w:rsidRPr="00F71E4C">
        <w:t xml:space="preserve">Fax </w:t>
      </w:r>
      <w:smartTag w:uri="urn:schemas-microsoft-com:office:smarttags" w:element="phone">
        <w:smartTagPr>
          <w:attr w:name="phonenumber" w:val="$6886$$$"/>
          <w:attr w:uri="urn:schemas-microsoft-com:office:office" w:name="ls" w:val="trans"/>
        </w:smartTagPr>
        <w:r w:rsidRPr="00F71E4C">
          <w:t xml:space="preserve">(604) </w:t>
        </w:r>
        <w:smartTag w:uri="urn:schemas-microsoft-com:office:smarttags" w:element="phone">
          <w:smartTagPr>
            <w:attr w:name="phonenumber" w:val="$6886$$$"/>
            <w:attr w:uri="urn:schemas-microsoft-com:office:office" w:name="ls" w:val="trans"/>
          </w:smartTagPr>
          <w:r w:rsidRPr="00F71E4C">
            <w:t>886-8288</w:t>
          </w:r>
        </w:smartTag>
      </w:smartTag>
    </w:p>
    <w:p w14:paraId="15612B00" w14:textId="77777777" w:rsidR="0073450B" w:rsidRPr="00F71E4C" w:rsidRDefault="0073450B" w:rsidP="007501F2">
      <w:pPr>
        <w:pStyle w:val="Indent4"/>
      </w:pPr>
      <w:r w:rsidRPr="00F71E4C">
        <w:t xml:space="preserve">Hail-in Line: </w:t>
      </w:r>
      <w:smartTag w:uri="urn:schemas-microsoft-com:office:smarttags" w:element="phone">
        <w:smartTagPr>
          <w:attr w:name="phonenumber" w:val="$6775$$$"/>
          <w:attr w:uri="urn:schemas-microsoft-com:office:office" w:name="ls" w:val="trans"/>
        </w:smartTagPr>
        <w:r w:rsidRPr="00F71E4C">
          <w:t xml:space="preserve">(800) </w:t>
        </w:r>
        <w:smartTag w:uri="urn:schemas-microsoft-com:office:smarttags" w:element="phone">
          <w:smartTagPr>
            <w:attr w:name="phonenumber" w:val="$6775$$$"/>
            <w:attr w:uri="urn:schemas-microsoft-com:office:office" w:name="ls" w:val="trans"/>
          </w:smartTagPr>
          <w:r w:rsidRPr="00F71E4C">
            <w:t>775-5505</w:t>
          </w:r>
        </w:smartTag>
      </w:smartTag>
    </w:p>
    <w:p w14:paraId="4BBB4B20" w14:textId="77777777" w:rsidR="0081299B" w:rsidRPr="00F71E4C" w:rsidRDefault="0081299B" w:rsidP="00354DB5">
      <w:pPr>
        <w:pStyle w:val="Indent1"/>
      </w:pPr>
      <w:r w:rsidRPr="00F71E4C">
        <w:t xml:space="preserve">The following sections </w:t>
      </w:r>
      <w:r w:rsidR="001241BC" w:rsidRPr="00F71E4C">
        <w:t>mirror</w:t>
      </w:r>
      <w:r w:rsidRPr="00F71E4C">
        <w:t xml:space="preserve"> those in the Conditions of Licence (issued with each commercial licence) that outline the requirements for fishery control and monitoring.</w:t>
      </w:r>
      <w:r w:rsidR="00C80965" w:rsidRPr="00F71E4C">
        <w:t xml:space="preserve">  </w:t>
      </w:r>
      <w:r w:rsidRPr="00F71E4C">
        <w:t xml:space="preserve">See Appendix </w:t>
      </w:r>
      <w:r w:rsidR="00602976" w:rsidRPr="00F71E4C">
        <w:t>11</w:t>
      </w:r>
      <w:r w:rsidRPr="00F71E4C">
        <w:t xml:space="preserve"> for an example</w:t>
      </w:r>
      <w:r w:rsidR="00280943" w:rsidRPr="00F71E4C">
        <w:t xml:space="preserve"> of the Conditions of Licence</w:t>
      </w:r>
      <w:r w:rsidRPr="00F71E4C">
        <w:t>.</w:t>
      </w:r>
    </w:p>
    <w:p w14:paraId="6B3DF72D" w14:textId="77777777" w:rsidR="00ED1ADA" w:rsidRPr="00F71E4C" w:rsidRDefault="00ED1ADA" w:rsidP="0038733C">
      <w:pPr>
        <w:pStyle w:val="Heading2"/>
      </w:pPr>
      <w:bookmarkStart w:id="82" w:name="_Toc107404345"/>
      <w:r w:rsidRPr="00F71E4C">
        <w:t xml:space="preserve">Quantities </w:t>
      </w:r>
      <w:r w:rsidR="0038733C" w:rsidRPr="00F71E4C">
        <w:t xml:space="preserve">Permitted to be Taken </w:t>
      </w:r>
      <w:r w:rsidR="00280943" w:rsidRPr="00F71E4C">
        <w:t>(Condition #</w:t>
      </w:r>
      <w:r w:rsidR="00520D73" w:rsidRPr="00F71E4C">
        <w:t>3</w:t>
      </w:r>
      <w:r w:rsidR="00280943" w:rsidRPr="00F71E4C">
        <w:t>)</w:t>
      </w:r>
      <w:bookmarkEnd w:id="82"/>
    </w:p>
    <w:p w14:paraId="4340629F" w14:textId="151F479D" w:rsidR="00ED1ADA" w:rsidRPr="00F71E4C" w:rsidRDefault="00AB328C" w:rsidP="000272DE">
      <w:pPr>
        <w:pStyle w:val="Indent2"/>
        <w:ind w:left="0"/>
      </w:pPr>
      <w:r w:rsidRPr="00F71E4C">
        <w:t>The Sea C</w:t>
      </w:r>
      <w:r w:rsidR="00ED1ADA" w:rsidRPr="00F71E4C">
        <w:t>ucumber IQ equals 1/85 of the coast</w:t>
      </w:r>
      <w:r w:rsidR="00C3202E" w:rsidRPr="00F71E4C">
        <w:t xml:space="preserve">wide commercial </w:t>
      </w:r>
      <w:smartTag w:uri="urn:schemas-microsoft-com:office:smarttags" w:element="stockticker">
        <w:r w:rsidR="00C3202E" w:rsidRPr="00F71E4C">
          <w:t>TAC</w:t>
        </w:r>
      </w:smartTag>
      <w:r w:rsidR="00C3202E" w:rsidRPr="00F71E4C">
        <w:t xml:space="preserve"> or </w:t>
      </w:r>
      <w:r w:rsidR="00ED1ADA" w:rsidRPr="00C60883">
        <w:t>1</w:t>
      </w:r>
      <w:r w:rsidR="00C60883" w:rsidRPr="00C60883">
        <w:t>6</w:t>
      </w:r>
      <w:r w:rsidR="003438AF" w:rsidRPr="00C60883">
        <w:t>,000</w:t>
      </w:r>
      <w:r w:rsidR="00ED1ADA" w:rsidRPr="00C60883">
        <w:t xml:space="preserve"> </w:t>
      </w:r>
      <w:r w:rsidR="00C3202E" w:rsidRPr="00C60883">
        <w:t>pound</w:t>
      </w:r>
      <w:r w:rsidR="003438AF" w:rsidRPr="00C60883">
        <w:t>s</w:t>
      </w:r>
      <w:r w:rsidR="00703B97">
        <w:t xml:space="preserve"> split weight (7.2 </w:t>
      </w:r>
      <w:proofErr w:type="spellStart"/>
      <w:r w:rsidR="00703B97">
        <w:t>tonnes</w:t>
      </w:r>
      <w:proofErr w:type="spellEnd"/>
      <w:r w:rsidR="00703B97">
        <w:t>)</w:t>
      </w:r>
      <w:r w:rsidR="00ED1ADA" w:rsidRPr="00C60883">
        <w:t>.</w:t>
      </w:r>
      <w:r w:rsidR="00280943" w:rsidRPr="00F71E4C">
        <w:t xml:space="preserve">  </w:t>
      </w:r>
      <w:r w:rsidR="00ED1ADA" w:rsidRPr="00F71E4C">
        <w:t xml:space="preserve">Harvest of </w:t>
      </w:r>
      <w:r w:rsidR="00ED4DFA" w:rsidRPr="00F71E4C">
        <w:t>S</w:t>
      </w:r>
      <w:r w:rsidR="00ED1ADA" w:rsidRPr="00F71E4C">
        <w:t xml:space="preserve">ea </w:t>
      </w:r>
      <w:r w:rsidR="00ED4DFA" w:rsidRPr="00F71E4C">
        <w:t>C</w:t>
      </w:r>
      <w:r w:rsidR="00ED1ADA" w:rsidRPr="00F71E4C">
        <w:t xml:space="preserve">ucumbers over the IQ after the permitted quota overage adjustments </w:t>
      </w:r>
      <w:r w:rsidR="00A13212" w:rsidRPr="00F71E4C">
        <w:t xml:space="preserve">(see Section </w:t>
      </w:r>
      <w:r w:rsidR="00602976" w:rsidRPr="00F71E4C">
        <w:t>3</w:t>
      </w:r>
      <w:r w:rsidR="00A13212" w:rsidRPr="00F71E4C">
        <w:t xml:space="preserve">.7.5) </w:t>
      </w:r>
      <w:r w:rsidR="00ED1ADA" w:rsidRPr="00F71E4C">
        <w:t>may be subject to prosecution and seizure of the overage.</w:t>
      </w:r>
    </w:p>
    <w:p w14:paraId="18144F8C" w14:textId="77777777" w:rsidR="00E2302C" w:rsidRPr="00F71E4C" w:rsidRDefault="00E2302C" w:rsidP="0038733C">
      <w:pPr>
        <w:pStyle w:val="Heading2"/>
      </w:pPr>
      <w:bookmarkStart w:id="83" w:name="_Toc77232784"/>
      <w:bookmarkStart w:id="84" w:name="_Toc107404346"/>
      <w:r w:rsidRPr="00F71E4C">
        <w:t xml:space="preserve">Fishing </w:t>
      </w:r>
      <w:r w:rsidR="0038733C" w:rsidRPr="00F71E4C">
        <w:t xml:space="preserve">Multiple Quota </w:t>
      </w:r>
      <w:r w:rsidR="005078F9" w:rsidRPr="00F71E4C">
        <w:t xml:space="preserve">Management </w:t>
      </w:r>
      <w:r w:rsidR="0038733C" w:rsidRPr="00F71E4C">
        <w:t>Areas</w:t>
      </w:r>
      <w:bookmarkEnd w:id="83"/>
      <w:r w:rsidR="0038733C" w:rsidRPr="00F71E4C">
        <w:t xml:space="preserve"> </w:t>
      </w:r>
      <w:r w:rsidR="00520D73" w:rsidRPr="00F71E4C">
        <w:t>(Condition #6</w:t>
      </w:r>
      <w:r w:rsidR="00280943" w:rsidRPr="00F71E4C">
        <w:t>)</w:t>
      </w:r>
      <w:bookmarkEnd w:id="84"/>
    </w:p>
    <w:p w14:paraId="5E3C62E8" w14:textId="77777777" w:rsidR="00E2302C" w:rsidRPr="00F71E4C" w:rsidRDefault="00E2302C" w:rsidP="000272DE">
      <w:pPr>
        <w:pStyle w:val="Indent2"/>
        <w:ind w:left="0"/>
      </w:pPr>
      <w:r w:rsidRPr="00F71E4C">
        <w:t xml:space="preserve">All </w:t>
      </w:r>
      <w:r w:rsidR="00ED4DFA" w:rsidRPr="00F71E4C">
        <w:t>S</w:t>
      </w:r>
      <w:r w:rsidRPr="00F71E4C">
        <w:t xml:space="preserve">ea </w:t>
      </w:r>
      <w:r w:rsidR="00ED4DFA" w:rsidRPr="00F71E4C">
        <w:t>C</w:t>
      </w:r>
      <w:r w:rsidRPr="00F71E4C">
        <w:t xml:space="preserve">ucumbers caught in a Quota Management Area must be landed or </w:t>
      </w:r>
      <w:proofErr w:type="spellStart"/>
      <w:r w:rsidRPr="00F71E4C">
        <w:t>transhipped</w:t>
      </w:r>
      <w:proofErr w:type="spellEnd"/>
      <w:r w:rsidRPr="00F71E4C">
        <w:t xml:space="preserve"> prior to the commencement of fishing in a new Quota Management Area</w:t>
      </w:r>
      <w:r w:rsidR="00700361" w:rsidRPr="00F71E4C">
        <w:t>.  I</w:t>
      </w:r>
      <w:r w:rsidRPr="00F71E4C">
        <w:t>n this way, area quotas and individual quotas are closely monitored to avoid over-harvesting of either.</w:t>
      </w:r>
    </w:p>
    <w:p w14:paraId="4DAB4F33" w14:textId="77777777" w:rsidR="0073450B" w:rsidRPr="00F71E4C" w:rsidRDefault="0010045D" w:rsidP="0038733C">
      <w:pPr>
        <w:pStyle w:val="Heading2"/>
      </w:pPr>
      <w:bookmarkStart w:id="85" w:name="_Toc107404347"/>
      <w:r w:rsidRPr="00F71E4C">
        <w:t>C</w:t>
      </w:r>
      <w:r w:rsidR="00ED1ADA" w:rsidRPr="00F71E4C">
        <w:t xml:space="preserve">ontainers used to </w:t>
      </w:r>
      <w:r w:rsidR="0038733C" w:rsidRPr="00F71E4C">
        <w:t>Hold or T</w:t>
      </w:r>
      <w:r w:rsidR="00ED1ADA" w:rsidRPr="00F71E4C">
        <w:t xml:space="preserve">ransport </w:t>
      </w:r>
      <w:r w:rsidR="0038733C" w:rsidRPr="00F71E4C">
        <w:t>S</w:t>
      </w:r>
      <w:r w:rsidR="0073450B" w:rsidRPr="00F71E4C">
        <w:t xml:space="preserve">ea </w:t>
      </w:r>
      <w:r w:rsidR="0038733C" w:rsidRPr="00F71E4C">
        <w:t>C</w:t>
      </w:r>
      <w:r w:rsidR="0073450B" w:rsidRPr="00F71E4C">
        <w:t>ucumber</w:t>
      </w:r>
      <w:r w:rsidR="00ED1ADA" w:rsidRPr="00F71E4C">
        <w:t>s</w:t>
      </w:r>
      <w:r w:rsidR="00280943" w:rsidRPr="00F71E4C">
        <w:t xml:space="preserve"> (Condition #7)</w:t>
      </w:r>
      <w:bookmarkEnd w:id="85"/>
    </w:p>
    <w:p w14:paraId="400A271A" w14:textId="77777777" w:rsidR="00B21889" w:rsidRPr="00F71E4C" w:rsidRDefault="00B21889" w:rsidP="000272DE">
      <w:pPr>
        <w:pStyle w:val="Indent2"/>
        <w:ind w:left="0"/>
      </w:pPr>
      <w:r w:rsidRPr="00F71E4C">
        <w:t>There are several requirements for:</w:t>
      </w:r>
    </w:p>
    <w:p w14:paraId="608AE689" w14:textId="77777777" w:rsidR="00B21889" w:rsidRPr="00F71E4C" w:rsidRDefault="00B21889" w:rsidP="00C23BE2">
      <w:pPr>
        <w:pStyle w:val="ListNumber2"/>
        <w:numPr>
          <w:ilvl w:val="0"/>
          <w:numId w:val="9"/>
        </w:numPr>
        <w:tabs>
          <w:tab w:val="clear" w:pos="1440"/>
          <w:tab w:val="num" w:pos="360"/>
        </w:tabs>
        <w:ind w:left="360"/>
      </w:pPr>
      <w:r w:rsidRPr="00F71E4C">
        <w:t xml:space="preserve">The type, </w:t>
      </w:r>
      <w:r w:rsidR="00D71723" w:rsidRPr="00F71E4C">
        <w:t>size,</w:t>
      </w:r>
      <w:r w:rsidRPr="00F71E4C">
        <w:t xml:space="preserve"> and marking of containers used to h</w:t>
      </w:r>
      <w:r w:rsidR="0038733C" w:rsidRPr="00F71E4C">
        <w:t xml:space="preserve">old or transport </w:t>
      </w:r>
      <w:r w:rsidR="00ED4DFA" w:rsidRPr="00F71E4C">
        <w:t>S</w:t>
      </w:r>
      <w:r w:rsidR="0038733C" w:rsidRPr="00F71E4C">
        <w:t xml:space="preserve">ea </w:t>
      </w:r>
      <w:r w:rsidR="00ED4DFA" w:rsidRPr="00F71E4C">
        <w:t>C</w:t>
      </w:r>
      <w:r w:rsidR="0038733C" w:rsidRPr="00F71E4C">
        <w:t>ucumbers.</w:t>
      </w:r>
    </w:p>
    <w:p w14:paraId="4BBB0AA8" w14:textId="77777777" w:rsidR="00B21889" w:rsidRPr="00F71E4C" w:rsidRDefault="00B21889" w:rsidP="00C23BE2">
      <w:pPr>
        <w:pStyle w:val="ListNumber2"/>
        <w:tabs>
          <w:tab w:val="clear" w:pos="1440"/>
          <w:tab w:val="num" w:pos="360"/>
        </w:tabs>
        <w:ind w:left="360"/>
      </w:pPr>
      <w:r w:rsidRPr="00F71E4C">
        <w:t>The condition of containers for food inspection purposes.</w:t>
      </w:r>
    </w:p>
    <w:bookmarkEnd w:id="81"/>
    <w:p w14:paraId="6194B6A8" w14:textId="53004FC2" w:rsidR="0010045D" w:rsidRPr="00F71E4C" w:rsidRDefault="0010045D" w:rsidP="000272DE">
      <w:pPr>
        <w:pStyle w:val="Indent2"/>
        <w:ind w:left="0"/>
      </w:pPr>
      <w:r w:rsidRPr="00F71E4C">
        <w:t xml:space="preserve">Any containers used in the transport of “fish” (including </w:t>
      </w:r>
      <w:r w:rsidR="00ED4DFA" w:rsidRPr="00F71E4C">
        <w:t>S</w:t>
      </w:r>
      <w:r w:rsidR="004B7099" w:rsidRPr="00F71E4C">
        <w:t xml:space="preserve">ea </w:t>
      </w:r>
      <w:r w:rsidR="00ED4DFA" w:rsidRPr="00F71E4C">
        <w:t>C</w:t>
      </w:r>
      <w:r w:rsidR="004B7099" w:rsidRPr="00F71E4C">
        <w:t>ucumbers)</w:t>
      </w:r>
      <w:r w:rsidRPr="00F71E4C">
        <w:t xml:space="preserve"> for export must meet the requirements </w:t>
      </w:r>
      <w:r w:rsidR="00733224" w:rsidRPr="00F96728">
        <w:t xml:space="preserve">outlined in Part 4 of the Safe Food for Canadians Regulations (SFCR). See CFIA’s website for further information: </w:t>
      </w:r>
      <w:hyperlink r:id="rId17" w:history="1">
        <w:r w:rsidR="00733224" w:rsidRPr="00F96728">
          <w:rPr>
            <w:rStyle w:val="Hyperlink"/>
          </w:rPr>
          <w:t>https://inspection.canada.ca/food-safety-for-industry/toolkit-for-food-businesses/sfcr-handbook-for-food-businesses/eng/1481560206153/1481560532540?chap=0</w:t>
        </w:r>
      </w:hyperlink>
    </w:p>
    <w:p w14:paraId="21302CE4" w14:textId="77777777" w:rsidR="00B21889" w:rsidRPr="00F71E4C" w:rsidRDefault="0010045D" w:rsidP="0038733C">
      <w:pPr>
        <w:pStyle w:val="Heading2"/>
      </w:pPr>
      <w:bookmarkStart w:id="86" w:name="_Toc107404348"/>
      <w:bookmarkStart w:id="87" w:name="OLE_LINK1"/>
      <w:proofErr w:type="spellStart"/>
      <w:r w:rsidRPr="00F71E4C">
        <w:t>Transhipment</w:t>
      </w:r>
      <w:proofErr w:type="spellEnd"/>
      <w:r w:rsidR="00280943" w:rsidRPr="00F71E4C">
        <w:t xml:space="preserve"> (Condition #</w:t>
      </w:r>
      <w:r w:rsidR="00520D73" w:rsidRPr="00F71E4C">
        <w:t>8</w:t>
      </w:r>
      <w:r w:rsidR="00280943" w:rsidRPr="00F71E4C">
        <w:t>)</w:t>
      </w:r>
      <w:bookmarkEnd w:id="86"/>
    </w:p>
    <w:p w14:paraId="5036E2D8" w14:textId="77777777" w:rsidR="00B21889" w:rsidRPr="00F71E4C" w:rsidRDefault="00B21889" w:rsidP="000272DE">
      <w:pPr>
        <w:pStyle w:val="Indent2"/>
        <w:ind w:left="0"/>
      </w:pPr>
      <w:r w:rsidRPr="00F71E4C">
        <w:t xml:space="preserve">All product harvested under a </w:t>
      </w:r>
      <w:r w:rsidR="00ED4DFA" w:rsidRPr="00F71E4C">
        <w:t>S</w:t>
      </w:r>
      <w:r w:rsidR="00614DF7" w:rsidRPr="00F71E4C">
        <w:t xml:space="preserve">ea </w:t>
      </w:r>
      <w:r w:rsidR="00ED4DFA" w:rsidRPr="00F71E4C">
        <w:t>C</w:t>
      </w:r>
      <w:r w:rsidR="00614DF7" w:rsidRPr="00F71E4C">
        <w:t>ucumber</w:t>
      </w:r>
      <w:r w:rsidRPr="00F71E4C">
        <w:t xml:space="preserve"> licence must be harvested from and retrieved by the vessel designated on the licence</w:t>
      </w:r>
      <w:r w:rsidR="00700361" w:rsidRPr="00F71E4C">
        <w:t>.  I</w:t>
      </w:r>
      <w:r w:rsidRPr="00F71E4C">
        <w:t>f that product is to be retrieved at a later time by the licensed vessel, it must be appropriately tagged</w:t>
      </w:r>
      <w:r w:rsidR="00700361" w:rsidRPr="00F71E4C">
        <w:t>.  I</w:t>
      </w:r>
      <w:r w:rsidRPr="00F71E4C">
        <w:t xml:space="preserve">f that product is going to be transferred to another </w:t>
      </w:r>
      <w:r w:rsidRPr="00F71E4C">
        <w:lastRenderedPageBreak/>
        <w:t>vessel (i</w:t>
      </w:r>
      <w:r w:rsidR="00700361" w:rsidRPr="00F71E4C">
        <w:t>.</w:t>
      </w:r>
      <w:r w:rsidR="00A13212" w:rsidRPr="00F71E4C">
        <w:t>e</w:t>
      </w:r>
      <w:r w:rsidRPr="00F71E4C">
        <w:t>. for landing purposes), the vessel to which it is transferred must be appropriately licensed for packing purposes</w:t>
      </w:r>
      <w:r w:rsidR="005123BE" w:rsidRPr="00F71E4C">
        <w:t xml:space="preserve"> (</w:t>
      </w:r>
      <w:r w:rsidR="005123BE" w:rsidRPr="0031331F">
        <w:t>see Section 3.</w:t>
      </w:r>
      <w:r w:rsidR="00CA4C78" w:rsidRPr="0031331F">
        <w:t>10</w:t>
      </w:r>
      <w:r w:rsidR="005123BE" w:rsidRPr="0031331F">
        <w:t>)</w:t>
      </w:r>
      <w:r w:rsidRPr="0031331F">
        <w:t>.</w:t>
      </w:r>
      <w:r w:rsidR="00C80965" w:rsidRPr="00F71E4C">
        <w:t xml:space="preserve">  </w:t>
      </w:r>
      <w:r w:rsidRPr="00F71E4C">
        <w:t xml:space="preserve">At no time should unlicensed vessels be used to harvest, retrieve, </w:t>
      </w:r>
      <w:r w:rsidR="00D71723" w:rsidRPr="00F71E4C">
        <w:t>store,</w:t>
      </w:r>
      <w:r w:rsidRPr="00F71E4C">
        <w:t xml:space="preserve"> or </w:t>
      </w:r>
      <w:proofErr w:type="spellStart"/>
      <w:r w:rsidRPr="00F71E4C">
        <w:t>tranship</w:t>
      </w:r>
      <w:proofErr w:type="spellEnd"/>
      <w:r w:rsidRPr="00F71E4C">
        <w:t xml:space="preserve"> product.</w:t>
      </w:r>
    </w:p>
    <w:p w14:paraId="64A96543" w14:textId="08BD8EFC" w:rsidR="005123BE" w:rsidRPr="00F71E4C" w:rsidRDefault="00AE0818" w:rsidP="000272DE">
      <w:pPr>
        <w:pStyle w:val="Indent2"/>
        <w:ind w:left="0"/>
      </w:pPr>
      <w:r>
        <w:t>Sea C</w:t>
      </w:r>
      <w:r w:rsidR="005123BE" w:rsidRPr="00F71E4C">
        <w:t xml:space="preserve">ucumbers may be </w:t>
      </w:r>
      <w:proofErr w:type="spellStart"/>
      <w:r w:rsidR="005123BE" w:rsidRPr="00F71E4C">
        <w:t>transhipped</w:t>
      </w:r>
      <w:proofErr w:type="spellEnd"/>
      <w:r w:rsidR="005123BE" w:rsidRPr="00F71E4C">
        <w:t xml:space="preserve"> from the licensed vessel to a packer vessel provided that the vessel master complies with the </w:t>
      </w:r>
      <w:r w:rsidR="00B315B7" w:rsidRPr="00F71E4C">
        <w:t>following</w:t>
      </w:r>
      <w:r w:rsidR="005123BE" w:rsidRPr="00F71E4C">
        <w:t xml:space="preserve"> conditions</w:t>
      </w:r>
      <w:r w:rsidR="00D13265" w:rsidRPr="00F71E4C">
        <w:t>:</w:t>
      </w:r>
    </w:p>
    <w:p w14:paraId="519EB1A7" w14:textId="77777777" w:rsidR="005123BE" w:rsidRPr="00F71E4C" w:rsidRDefault="005123BE" w:rsidP="00765E96">
      <w:pPr>
        <w:pStyle w:val="ListNumber2"/>
        <w:numPr>
          <w:ilvl w:val="0"/>
          <w:numId w:val="10"/>
        </w:numPr>
      </w:pPr>
      <w:r w:rsidRPr="00F71E4C">
        <w:t xml:space="preserve">All </w:t>
      </w:r>
      <w:r w:rsidR="00ED4DFA" w:rsidRPr="00F71E4C">
        <w:t>S</w:t>
      </w:r>
      <w:r w:rsidRPr="00F71E4C">
        <w:t xml:space="preserve">ea </w:t>
      </w:r>
      <w:r w:rsidR="00ED4DFA" w:rsidRPr="00F71E4C">
        <w:t>C</w:t>
      </w:r>
      <w:r w:rsidRPr="00F71E4C">
        <w:t>ucumbers are in tagged containers.</w:t>
      </w:r>
    </w:p>
    <w:p w14:paraId="5012263D" w14:textId="77777777" w:rsidR="005123BE" w:rsidRPr="00F71E4C" w:rsidRDefault="005123BE" w:rsidP="00BD1A00">
      <w:pPr>
        <w:pStyle w:val="ListNumber2"/>
      </w:pPr>
      <w:r w:rsidRPr="00F71E4C">
        <w:t xml:space="preserve">The numbers of containers are recorded on the </w:t>
      </w:r>
      <w:r w:rsidR="00C6766C" w:rsidRPr="00F71E4C">
        <w:t>Validation and Harvest Log.</w:t>
      </w:r>
    </w:p>
    <w:p w14:paraId="6351D271" w14:textId="77777777" w:rsidR="005123BE" w:rsidRPr="00F71E4C" w:rsidRDefault="005123BE" w:rsidP="00BD1A00">
      <w:pPr>
        <w:pStyle w:val="ListNumber2"/>
      </w:pPr>
      <w:r w:rsidRPr="00F71E4C">
        <w:t>The “packer weight” (</w:t>
      </w:r>
      <w:r w:rsidR="00876D3F" w:rsidRPr="00F71E4C">
        <w:t>determin</w:t>
      </w:r>
      <w:r w:rsidR="00B02BC2" w:rsidRPr="00F71E4C">
        <w:t>ed by adding the weight of the Sea C</w:t>
      </w:r>
      <w:r w:rsidR="00876D3F" w:rsidRPr="00F71E4C">
        <w:t>ucumbers and the weight of the container</w:t>
      </w:r>
      <w:r w:rsidR="00C6766C" w:rsidRPr="00F71E4C">
        <w:t>)</w:t>
      </w:r>
      <w:r w:rsidR="00D13265" w:rsidRPr="00F71E4C">
        <w:t>,</w:t>
      </w:r>
      <w:r w:rsidR="00C6766C" w:rsidRPr="00F71E4C">
        <w:t xml:space="preserve"> is recorded on the L</w:t>
      </w:r>
      <w:r w:rsidRPr="00F71E4C">
        <w:t>og.</w:t>
      </w:r>
    </w:p>
    <w:p w14:paraId="5503228D" w14:textId="77777777" w:rsidR="005123BE" w:rsidRPr="00F71E4C" w:rsidRDefault="005123BE" w:rsidP="00BD1A00">
      <w:pPr>
        <w:pStyle w:val="ListNumber2"/>
      </w:pPr>
      <w:r w:rsidRPr="00F71E4C">
        <w:t>The product is landed at a designated port and validated by an observer.</w:t>
      </w:r>
    </w:p>
    <w:p w14:paraId="74514B78" w14:textId="77777777" w:rsidR="005123BE" w:rsidRPr="00F71E4C" w:rsidRDefault="005123BE" w:rsidP="000272DE">
      <w:pPr>
        <w:pStyle w:val="Indent2"/>
        <w:ind w:left="0"/>
      </w:pPr>
      <w:r w:rsidRPr="00F71E4C">
        <w:t xml:space="preserve">All </w:t>
      </w:r>
      <w:r w:rsidR="00ED4DFA" w:rsidRPr="00F71E4C">
        <w:t>S</w:t>
      </w:r>
      <w:r w:rsidRPr="00F71E4C">
        <w:t xml:space="preserve">ea </w:t>
      </w:r>
      <w:r w:rsidR="00ED4DFA" w:rsidRPr="00F71E4C">
        <w:t>C</w:t>
      </w:r>
      <w:r w:rsidRPr="00F71E4C">
        <w:t>ucumbers delivered to packers shall be in tagged containers.  The container tags must provide the following information:</w:t>
      </w:r>
    </w:p>
    <w:p w14:paraId="6DC92909" w14:textId="77777777" w:rsidR="005123BE" w:rsidRPr="00F71E4C" w:rsidRDefault="005123BE" w:rsidP="00765E96">
      <w:pPr>
        <w:pStyle w:val="ListNumber2"/>
        <w:numPr>
          <w:ilvl w:val="0"/>
          <w:numId w:val="11"/>
        </w:numPr>
      </w:pPr>
      <w:r w:rsidRPr="00F71E4C">
        <w:t>Name of the harvesting vessel.</w:t>
      </w:r>
    </w:p>
    <w:p w14:paraId="59383495" w14:textId="77777777" w:rsidR="005123BE" w:rsidRPr="00F71E4C" w:rsidRDefault="00D13265" w:rsidP="00BD1A00">
      <w:pPr>
        <w:pStyle w:val="ListNumber2"/>
      </w:pPr>
      <w:r w:rsidRPr="00F71E4C">
        <w:t>“</w:t>
      </w:r>
      <w:r w:rsidR="005123BE" w:rsidRPr="00F71E4C">
        <w:t>ZD</w:t>
      </w:r>
      <w:r w:rsidRPr="00F71E4C">
        <w:t>”</w:t>
      </w:r>
      <w:r w:rsidR="005123BE" w:rsidRPr="00F71E4C">
        <w:t xml:space="preserve"> tab number.</w:t>
      </w:r>
    </w:p>
    <w:p w14:paraId="5C460AC6" w14:textId="77777777" w:rsidR="005123BE" w:rsidRPr="00F71E4C" w:rsidRDefault="00D13265" w:rsidP="00BD1A00">
      <w:pPr>
        <w:pStyle w:val="ListNumber2"/>
      </w:pPr>
      <w:r w:rsidRPr="00F71E4C">
        <w:t>Vessel registration number (VRN</w:t>
      </w:r>
      <w:r w:rsidR="005123BE" w:rsidRPr="00F71E4C">
        <w:t>).</w:t>
      </w:r>
    </w:p>
    <w:p w14:paraId="0618352F" w14:textId="77777777" w:rsidR="005123BE" w:rsidRPr="00F71E4C" w:rsidRDefault="005123BE" w:rsidP="00BD1A00">
      <w:pPr>
        <w:pStyle w:val="ListNumber2"/>
      </w:pPr>
      <w:r w:rsidRPr="00F71E4C">
        <w:t>Harvest date.</w:t>
      </w:r>
    </w:p>
    <w:p w14:paraId="69BD0B16" w14:textId="77777777" w:rsidR="005123BE" w:rsidRPr="00F71E4C" w:rsidRDefault="005123BE" w:rsidP="00BD1A00">
      <w:pPr>
        <w:pStyle w:val="ListNumber2"/>
      </w:pPr>
      <w:r w:rsidRPr="00F71E4C">
        <w:t>Fishery management Area and Subarea of harvest.</w:t>
      </w:r>
    </w:p>
    <w:p w14:paraId="145F41FB" w14:textId="77777777" w:rsidR="001A0C60" w:rsidRPr="00F71E4C" w:rsidRDefault="006E25E9" w:rsidP="000272DE">
      <w:pPr>
        <w:pStyle w:val="Indent2"/>
        <w:ind w:left="0"/>
      </w:pPr>
      <w:r w:rsidRPr="00F71E4C">
        <w:t xml:space="preserve">Transport </w:t>
      </w:r>
      <w:r w:rsidR="00D13265" w:rsidRPr="00F71E4C">
        <w:t>v</w:t>
      </w:r>
      <w:r w:rsidR="007B61EE" w:rsidRPr="00F71E4C">
        <w:t xml:space="preserve">essel </w:t>
      </w:r>
      <w:r w:rsidR="00D13265" w:rsidRPr="00F71E4C">
        <w:t>m</w:t>
      </w:r>
      <w:r w:rsidR="007B61EE" w:rsidRPr="00F71E4C">
        <w:t xml:space="preserve">asters are reminded that there are Conditions of Licence that apply to the </w:t>
      </w:r>
      <w:proofErr w:type="spellStart"/>
      <w:r w:rsidR="007B61EE" w:rsidRPr="00F71E4C">
        <w:t>t</w:t>
      </w:r>
      <w:r w:rsidR="00F03213" w:rsidRPr="00F71E4C">
        <w:t>ranshipment</w:t>
      </w:r>
      <w:proofErr w:type="spellEnd"/>
      <w:r w:rsidR="00F03213" w:rsidRPr="00F71E4C">
        <w:t xml:space="preserve"> of Sea C</w:t>
      </w:r>
      <w:r w:rsidR="007B61EE" w:rsidRPr="00F71E4C">
        <w:t xml:space="preserve">ucumbers.  </w:t>
      </w:r>
      <w:r w:rsidRPr="00F71E4C">
        <w:t xml:space="preserve">There are </w:t>
      </w:r>
      <w:r w:rsidR="001A0C60" w:rsidRPr="00F71E4C">
        <w:t xml:space="preserve">several </w:t>
      </w:r>
      <w:r w:rsidRPr="00F71E4C">
        <w:t>requirements</w:t>
      </w:r>
      <w:r w:rsidR="001A0C60" w:rsidRPr="00F71E4C">
        <w:t>, including:</w:t>
      </w:r>
    </w:p>
    <w:p w14:paraId="2572FEBF" w14:textId="77777777" w:rsidR="00981F05" w:rsidRPr="00F71E4C" w:rsidRDefault="00D13265" w:rsidP="00765E96">
      <w:pPr>
        <w:pStyle w:val="ListNumber2"/>
        <w:numPr>
          <w:ilvl w:val="0"/>
          <w:numId w:val="12"/>
        </w:numPr>
      </w:pPr>
      <w:r w:rsidRPr="00F71E4C">
        <w:t>H</w:t>
      </w:r>
      <w:r w:rsidR="006E25E9" w:rsidRPr="00F71E4C">
        <w:t xml:space="preserve">ail at least 24 hours prior to </w:t>
      </w:r>
      <w:r w:rsidR="001A0C60" w:rsidRPr="00F71E4C">
        <w:t>lan</w:t>
      </w:r>
      <w:r w:rsidRPr="00F71E4C">
        <w:t>ding.</w:t>
      </w:r>
    </w:p>
    <w:p w14:paraId="47A3A094" w14:textId="77777777" w:rsidR="007B61EE" w:rsidRPr="00F71E4C" w:rsidRDefault="00D13265" w:rsidP="00BD1A00">
      <w:pPr>
        <w:pStyle w:val="ListNumber2"/>
      </w:pPr>
      <w:r w:rsidRPr="00F71E4C">
        <w:t>T</w:t>
      </w:r>
      <w:r w:rsidR="00C35318" w:rsidRPr="00F71E4C">
        <w:t>ransport in the tagged container received from the catcher vessel</w:t>
      </w:r>
      <w:r w:rsidRPr="00F71E4C">
        <w:t>.</w:t>
      </w:r>
    </w:p>
    <w:p w14:paraId="6B543AA2" w14:textId="77777777" w:rsidR="0051381D" w:rsidRPr="00F71E4C" w:rsidRDefault="00D13265" w:rsidP="00BD1A00">
      <w:pPr>
        <w:pStyle w:val="ListNumber2"/>
      </w:pPr>
      <w:r w:rsidRPr="00F71E4C">
        <w:t>Carry</w:t>
      </w:r>
      <w:r w:rsidR="00B315B7" w:rsidRPr="00F71E4C">
        <w:t xml:space="preserve"> </w:t>
      </w:r>
      <w:r w:rsidR="0051381D" w:rsidRPr="00F71E4C">
        <w:t>cop</w:t>
      </w:r>
      <w:r w:rsidR="00876D3F" w:rsidRPr="00F71E4C">
        <w:t>ies</w:t>
      </w:r>
      <w:r w:rsidR="0051381D" w:rsidRPr="00F71E4C">
        <w:t xml:space="preserve"> of the validation and harvest log received from the master of the licensed catcher vessel</w:t>
      </w:r>
      <w:r w:rsidR="00981F05" w:rsidRPr="00F71E4C">
        <w:t>.</w:t>
      </w:r>
    </w:p>
    <w:p w14:paraId="195A5622" w14:textId="77777777" w:rsidR="0073450B" w:rsidRPr="00F71E4C" w:rsidRDefault="00B21889" w:rsidP="00D13265">
      <w:pPr>
        <w:pStyle w:val="Heading2"/>
      </w:pPr>
      <w:bookmarkStart w:id="88" w:name="_Toc107404349"/>
      <w:bookmarkEnd w:id="87"/>
      <w:r w:rsidRPr="00F71E4C">
        <w:t xml:space="preserve">Locations </w:t>
      </w:r>
      <w:r w:rsidR="00D13265" w:rsidRPr="00F71E4C">
        <w:t xml:space="preserve">Permitted for the Landing of Sea Cucumbers </w:t>
      </w:r>
      <w:r w:rsidR="00280943" w:rsidRPr="00F71E4C">
        <w:t>(Condition #</w:t>
      </w:r>
      <w:r w:rsidR="00520D73" w:rsidRPr="00F71E4C">
        <w:t>9</w:t>
      </w:r>
      <w:r w:rsidR="00280943" w:rsidRPr="00F71E4C">
        <w:t>)</w:t>
      </w:r>
      <w:bookmarkEnd w:id="88"/>
    </w:p>
    <w:p w14:paraId="39A724CD" w14:textId="77777777" w:rsidR="0073450B" w:rsidRPr="00F71E4C" w:rsidRDefault="0073450B" w:rsidP="000272DE">
      <w:pPr>
        <w:pStyle w:val="Indent2"/>
        <w:ind w:left="0"/>
      </w:pPr>
      <w:r w:rsidRPr="00F71E4C">
        <w:t xml:space="preserve">All </w:t>
      </w:r>
      <w:r w:rsidR="00FA7310" w:rsidRPr="00F71E4C">
        <w:t>S</w:t>
      </w:r>
      <w:r w:rsidRPr="00F71E4C">
        <w:t xml:space="preserve">ea </w:t>
      </w:r>
      <w:r w:rsidR="00FA7310" w:rsidRPr="00F71E4C">
        <w:t>C</w:t>
      </w:r>
      <w:r w:rsidRPr="00F71E4C">
        <w:t xml:space="preserve">ucumbers must be landed at one of the designated landing ports listed in the </w:t>
      </w:r>
      <w:r w:rsidR="0010045D" w:rsidRPr="00F71E4C">
        <w:t xml:space="preserve">Conditions of </w:t>
      </w:r>
      <w:r w:rsidR="00DF615C" w:rsidRPr="00F71E4C">
        <w:t>Licence</w:t>
      </w:r>
      <w:r w:rsidR="00B21889" w:rsidRPr="00F71E4C">
        <w:t>.</w:t>
      </w:r>
      <w:r w:rsidR="00C80965" w:rsidRPr="00F71E4C">
        <w:t xml:space="preserve">  </w:t>
      </w:r>
      <w:r w:rsidR="00280943" w:rsidRPr="00F71E4C">
        <w:t>The s</w:t>
      </w:r>
      <w:r w:rsidR="00B21889" w:rsidRPr="00F71E4C">
        <w:t>pecific landing ports have been established as pa</w:t>
      </w:r>
      <w:r w:rsidR="001241BC" w:rsidRPr="00F71E4C">
        <w:t>rt of the IQ validation program.</w:t>
      </w:r>
      <w:r w:rsidR="00B21889" w:rsidRPr="00F71E4C">
        <w:t xml:space="preserve"> Fisheries and Oceans Canada certified observers are available at these ports to oversee offloading and validation of </w:t>
      </w:r>
      <w:r w:rsidR="00FA7310" w:rsidRPr="00F71E4C">
        <w:t>S</w:t>
      </w:r>
      <w:r w:rsidR="00B21889" w:rsidRPr="00F71E4C">
        <w:t xml:space="preserve">ea </w:t>
      </w:r>
      <w:r w:rsidR="00FA7310" w:rsidRPr="00F71E4C">
        <w:t>C</w:t>
      </w:r>
      <w:r w:rsidR="00B21889" w:rsidRPr="00F71E4C">
        <w:t>ucumber catch.</w:t>
      </w:r>
      <w:r w:rsidR="00280943" w:rsidRPr="00F71E4C">
        <w:t xml:space="preserve">  This condition applies to both the licensed vessel and the packer vessel, if one is used.</w:t>
      </w:r>
    </w:p>
    <w:p w14:paraId="3A1DD497" w14:textId="77777777" w:rsidR="00DF615C" w:rsidRPr="00F71E4C" w:rsidRDefault="00DF615C" w:rsidP="00EB1039">
      <w:pPr>
        <w:pStyle w:val="Heading2"/>
      </w:pPr>
      <w:bookmarkStart w:id="89" w:name="_Toc429207369"/>
      <w:bookmarkStart w:id="90" w:name="_Toc107404350"/>
      <w:bookmarkStart w:id="91" w:name="_Toc429207367"/>
      <w:r w:rsidRPr="00F71E4C">
        <w:t xml:space="preserve">Validation of </w:t>
      </w:r>
      <w:r w:rsidR="00280943" w:rsidRPr="00F71E4C">
        <w:t>C</w:t>
      </w:r>
      <w:r w:rsidRPr="00F71E4C">
        <w:t>atch</w:t>
      </w:r>
      <w:bookmarkEnd w:id="89"/>
      <w:r w:rsidR="00280943" w:rsidRPr="00F71E4C">
        <w:t xml:space="preserve"> (Condition #</w:t>
      </w:r>
      <w:r w:rsidR="00520D73" w:rsidRPr="00F71E4C">
        <w:t>10</w:t>
      </w:r>
      <w:r w:rsidR="00280943" w:rsidRPr="00F71E4C">
        <w:t>)</w:t>
      </w:r>
      <w:bookmarkEnd w:id="90"/>
    </w:p>
    <w:p w14:paraId="2571758E" w14:textId="2FFBC54E" w:rsidR="001204B5" w:rsidRPr="00F71E4C" w:rsidRDefault="001204B5" w:rsidP="000272DE">
      <w:pPr>
        <w:pStyle w:val="Indent2"/>
        <w:ind w:left="0"/>
      </w:pPr>
      <w:bookmarkStart w:id="92" w:name="_Toc429207370"/>
      <w:r w:rsidRPr="00F71E4C">
        <w:t xml:space="preserve">All </w:t>
      </w:r>
      <w:r w:rsidR="00ED4DFA" w:rsidRPr="00F71E4C">
        <w:t>S</w:t>
      </w:r>
      <w:r w:rsidRPr="00F71E4C">
        <w:t xml:space="preserve">ea </w:t>
      </w:r>
      <w:r w:rsidR="00ED4DFA" w:rsidRPr="00F71E4C">
        <w:t>C</w:t>
      </w:r>
      <w:r w:rsidRPr="00F71E4C">
        <w:t>ucumbers harve</w:t>
      </w:r>
      <w:r w:rsidR="003B29F7">
        <w:t>sted or removed from the sea</w:t>
      </w:r>
      <w:r w:rsidRPr="00F71E4C">
        <w:t xml:space="preserve"> floor must be validated by a Fisheries and Oceans Canada certified observer at the point and time the fish are landed</w:t>
      </w:r>
      <w:r w:rsidR="009704F8" w:rsidRPr="00F71E4C">
        <w:t>,</w:t>
      </w:r>
      <w:r w:rsidRPr="00F71E4C">
        <w:t xml:space="preserve"> to track daily harvests and ensure that area quotas are not exceeded.</w:t>
      </w:r>
    </w:p>
    <w:bookmarkEnd w:id="92"/>
    <w:p w14:paraId="0CB7941E" w14:textId="77777777" w:rsidR="001F0F56" w:rsidRPr="00F71E4C" w:rsidRDefault="001F0F56" w:rsidP="000272DE">
      <w:pPr>
        <w:pStyle w:val="Indent2"/>
        <w:ind w:left="0"/>
      </w:pPr>
      <w:r w:rsidRPr="00F71E4C">
        <w:t xml:space="preserve">The vessel master must be in possession of a Fisheries and Oceans Canada approved catch Validation and Harvest logbook assigned to the </w:t>
      </w:r>
      <w:r w:rsidR="00ED4DFA" w:rsidRPr="00F71E4C">
        <w:t>S</w:t>
      </w:r>
      <w:r w:rsidRPr="00F71E4C">
        <w:t xml:space="preserve">ea </w:t>
      </w:r>
      <w:r w:rsidR="00ED4DFA" w:rsidRPr="00F71E4C">
        <w:t>C</w:t>
      </w:r>
      <w:r w:rsidRPr="00F71E4C">
        <w:t>ucumber licence</w:t>
      </w:r>
      <w:r w:rsidR="00700361" w:rsidRPr="00F71E4C">
        <w:t>.  T</w:t>
      </w:r>
      <w:r w:rsidRPr="00F71E4C">
        <w:t xml:space="preserve">he Validation and Harvest logbook must be on board the licensed vessel while fishing for </w:t>
      </w:r>
      <w:r w:rsidR="00ED4DFA" w:rsidRPr="00F71E4C">
        <w:t>S</w:t>
      </w:r>
      <w:r w:rsidRPr="00F71E4C">
        <w:t xml:space="preserve">ea </w:t>
      </w:r>
      <w:r w:rsidR="00ED4DFA" w:rsidRPr="00F71E4C">
        <w:t>C</w:t>
      </w:r>
      <w:r w:rsidR="00F03213" w:rsidRPr="00F71E4C">
        <w:t>ucumbers or while Sea C</w:t>
      </w:r>
      <w:r w:rsidRPr="00F71E4C">
        <w:t>ucumbers are on board.</w:t>
      </w:r>
      <w:r w:rsidR="00C80965" w:rsidRPr="00F71E4C">
        <w:t xml:space="preserve">  </w:t>
      </w:r>
      <w:r w:rsidRPr="00F71E4C">
        <w:t xml:space="preserve">Validation and Harvest logbooks that meet the Department’s </w:t>
      </w:r>
      <w:r w:rsidRPr="00F71E4C">
        <w:lastRenderedPageBreak/>
        <w:t xml:space="preserve">approval are available from the service </w:t>
      </w:r>
      <w:r w:rsidR="00267C55" w:rsidRPr="00F71E4C">
        <w:t>provider</w:t>
      </w:r>
      <w:r w:rsidRPr="00F71E4C">
        <w:t xml:space="preserve"> or from the Pacific Sea Cucumber Harvesters Association.</w:t>
      </w:r>
    </w:p>
    <w:p w14:paraId="79B9F9F8" w14:textId="77777777" w:rsidR="003404A5" w:rsidRPr="00F71E4C" w:rsidRDefault="003404A5" w:rsidP="000272DE">
      <w:pPr>
        <w:pStyle w:val="Indent3"/>
        <w:ind w:left="0"/>
      </w:pPr>
      <w:r w:rsidRPr="00F71E4C">
        <w:t xml:space="preserve">At the first point of offloading, all </w:t>
      </w:r>
      <w:r w:rsidR="00ED4DFA" w:rsidRPr="00F71E4C">
        <w:t>S</w:t>
      </w:r>
      <w:r w:rsidRPr="00F71E4C">
        <w:t xml:space="preserve">ea </w:t>
      </w:r>
      <w:r w:rsidR="00ED4DFA" w:rsidRPr="00F71E4C">
        <w:t>C</w:t>
      </w:r>
      <w:r w:rsidRPr="00F71E4C">
        <w:t>ucumbers will be weighed with a government certified scale</w:t>
      </w:r>
      <w:r w:rsidR="009704F8" w:rsidRPr="00F71E4C">
        <w:t>,</w:t>
      </w:r>
      <w:r w:rsidRPr="00F71E4C">
        <w:t xml:space="preserve"> </w:t>
      </w:r>
      <w:r w:rsidR="00EB1039" w:rsidRPr="00F71E4C">
        <w:t>by a Fisheries</w:t>
      </w:r>
      <w:r w:rsidRPr="00F71E4C">
        <w:t xml:space="preserve"> and Oceans Canada certified observer, and the weight entered on the Validation and Harvest Log.</w:t>
      </w:r>
      <w:r w:rsidR="00C80965" w:rsidRPr="00F71E4C">
        <w:t xml:space="preserve">  </w:t>
      </w:r>
      <w:r w:rsidRPr="00F71E4C">
        <w:t>Weights will be recorded as split and eviscerated weights</w:t>
      </w:r>
      <w:r w:rsidR="00700361" w:rsidRPr="00F71E4C">
        <w:t>.  I</w:t>
      </w:r>
      <w:r w:rsidRPr="00F71E4C">
        <w:t>f whole product is landed then a conversion factor of 2.73 will be used to convert to split weight</w:t>
      </w:r>
      <w:r w:rsidR="00700361" w:rsidRPr="00F71E4C">
        <w:t>.  T</w:t>
      </w:r>
      <w:r w:rsidRPr="00F71E4C">
        <w:t>he Validation and Harvest logs must remain with the licensed vessel, with copies of the validation accompanying the product to its destination.</w:t>
      </w:r>
    </w:p>
    <w:p w14:paraId="6EB78C56" w14:textId="77777777" w:rsidR="00DF615C" w:rsidRPr="00F71E4C" w:rsidRDefault="00DF615C" w:rsidP="00EB1039">
      <w:pPr>
        <w:pStyle w:val="Heading3"/>
      </w:pPr>
      <w:bookmarkStart w:id="93" w:name="_Toc429207372"/>
      <w:r w:rsidRPr="00F71E4C">
        <w:t>Validation and Harvest Log Entries</w:t>
      </w:r>
      <w:bookmarkEnd w:id="93"/>
    </w:p>
    <w:p w14:paraId="128FB927" w14:textId="77777777" w:rsidR="00DF615C" w:rsidRPr="00F71E4C" w:rsidRDefault="00DF615C" w:rsidP="000272DE">
      <w:pPr>
        <w:pStyle w:val="Indent3"/>
        <w:ind w:left="0"/>
      </w:pPr>
      <w:bookmarkStart w:id="94" w:name="_Toc429207373"/>
      <w:r w:rsidRPr="00F71E4C">
        <w:t>The vessel master is responsible for completing Sections A and C of the Validation and Harvest Log</w:t>
      </w:r>
      <w:r w:rsidR="00700361" w:rsidRPr="00F71E4C">
        <w:t>.  T</w:t>
      </w:r>
      <w:r w:rsidRPr="00F71E4C">
        <w:t>he vessel master shall also ensure that chart entries are completed showing all locations fished for that validation</w:t>
      </w:r>
      <w:r w:rsidR="00700361" w:rsidRPr="00F71E4C">
        <w:t>.  T</w:t>
      </w:r>
      <w:r w:rsidRPr="00F71E4C">
        <w:t>he observer shall complete Section B of the Validation and Harvest Log, and confirm that Sections A and C have been completed</w:t>
      </w:r>
      <w:r w:rsidR="00FE24B8" w:rsidRPr="00F71E4C">
        <w:t xml:space="preserve">. </w:t>
      </w:r>
      <w:r w:rsidR="00700361" w:rsidRPr="00F71E4C">
        <w:t>T</w:t>
      </w:r>
      <w:r w:rsidRPr="00F71E4C">
        <w:t xml:space="preserve">he service </w:t>
      </w:r>
      <w:r w:rsidR="00267C55" w:rsidRPr="00F71E4C">
        <w:t>provider</w:t>
      </w:r>
      <w:r w:rsidRPr="00F71E4C">
        <w:t xml:space="preserve"> will collect all harvest charts and ensure that they also have been completed</w:t>
      </w:r>
      <w:r w:rsidR="00700361" w:rsidRPr="00F71E4C">
        <w:t xml:space="preserve">.  </w:t>
      </w:r>
      <w:r w:rsidR="00700361" w:rsidRPr="00F71E4C">
        <w:rPr>
          <w:u w:val="single"/>
        </w:rPr>
        <w:t>T</w:t>
      </w:r>
      <w:r w:rsidRPr="00F71E4C">
        <w:rPr>
          <w:u w:val="single"/>
        </w:rPr>
        <w:t>he original white copy of the Validation and Harvest Log handed to the observer, along with the harvest charts</w:t>
      </w:r>
      <w:r w:rsidR="00647CC1" w:rsidRPr="00F71E4C">
        <w:rPr>
          <w:u w:val="single"/>
        </w:rPr>
        <w:t xml:space="preserve"> for each day’s harvest</w:t>
      </w:r>
      <w:r w:rsidR="003C56E0" w:rsidRPr="00F71E4C">
        <w:rPr>
          <w:u w:val="single"/>
        </w:rPr>
        <w:t>,</w:t>
      </w:r>
      <w:r w:rsidRPr="00F71E4C">
        <w:rPr>
          <w:u w:val="single"/>
        </w:rPr>
        <w:t xml:space="preserve"> must be received by the </w:t>
      </w:r>
      <w:r w:rsidR="00647CC1" w:rsidRPr="00F71E4C">
        <w:rPr>
          <w:u w:val="single"/>
        </w:rPr>
        <w:t xml:space="preserve">service provider contracted by the Pacific Sea </w:t>
      </w:r>
      <w:r w:rsidR="003C56E0" w:rsidRPr="00F71E4C">
        <w:rPr>
          <w:u w:val="single"/>
        </w:rPr>
        <w:t>Cucumber Harvesters Association</w:t>
      </w:r>
      <w:r w:rsidR="00647CC1" w:rsidRPr="00F71E4C">
        <w:rPr>
          <w:u w:val="single"/>
        </w:rPr>
        <w:t xml:space="preserve"> within one month of the harvesting having occurred</w:t>
      </w:r>
      <w:r w:rsidR="00647CC1" w:rsidRPr="00F71E4C">
        <w:t xml:space="preserve">. </w:t>
      </w:r>
      <w:r w:rsidR="00700361" w:rsidRPr="00F71E4C">
        <w:t xml:space="preserve"> </w:t>
      </w:r>
      <w:r w:rsidR="00CA4F54" w:rsidRPr="00F71E4C">
        <w:t>T</w:t>
      </w:r>
      <w:r w:rsidRPr="00F71E4C">
        <w:t xml:space="preserve">o meet the </w:t>
      </w:r>
      <w:r w:rsidR="00750188" w:rsidRPr="00F71E4C">
        <w:rPr>
          <w:u w:val="single"/>
        </w:rPr>
        <w:t>one month</w:t>
      </w:r>
      <w:r w:rsidRPr="00F71E4C">
        <w:t xml:space="preserve"> requirement for submission of data, </w:t>
      </w:r>
      <w:r w:rsidR="001241BC" w:rsidRPr="00F71E4C">
        <w:t xml:space="preserve">it is </w:t>
      </w:r>
      <w:r w:rsidRPr="00F71E4C">
        <w:t xml:space="preserve">recommended </w:t>
      </w:r>
      <w:r w:rsidR="001241BC" w:rsidRPr="00F71E4C">
        <w:t xml:space="preserve">that fish harvesters </w:t>
      </w:r>
      <w:r w:rsidRPr="00F71E4C">
        <w:t xml:space="preserve">forward their information to the service </w:t>
      </w:r>
      <w:r w:rsidR="00267C55" w:rsidRPr="00F71E4C">
        <w:t>provider</w:t>
      </w:r>
      <w:r w:rsidRPr="00F71E4C">
        <w:t xml:space="preserve"> well in advance of this time limit.</w:t>
      </w:r>
    </w:p>
    <w:p w14:paraId="2EBED507" w14:textId="77777777" w:rsidR="001204B5" w:rsidRPr="00F71E4C" w:rsidRDefault="001204B5" w:rsidP="000272DE">
      <w:pPr>
        <w:pStyle w:val="Indent3"/>
        <w:ind w:left="0"/>
      </w:pPr>
      <w:r w:rsidRPr="00F71E4C">
        <w:t xml:space="preserve">When a vessel has been assigned more than one </w:t>
      </w:r>
      <w:r w:rsidR="00EB1039" w:rsidRPr="00F71E4C">
        <w:t>“</w:t>
      </w:r>
      <w:r w:rsidRPr="00F71E4C">
        <w:t>ZD</w:t>
      </w:r>
      <w:r w:rsidR="00EB1039" w:rsidRPr="00F71E4C">
        <w:t>”</w:t>
      </w:r>
      <w:r w:rsidRPr="00F71E4C">
        <w:t xml:space="preserve"> licence, care must be taken to complete and submit the logbook that corresponds to the licence quota being harvested.  The correct </w:t>
      </w:r>
      <w:r w:rsidR="00EB1039" w:rsidRPr="00F71E4C">
        <w:t>“</w:t>
      </w:r>
      <w:r w:rsidRPr="00F71E4C">
        <w:t>ZD</w:t>
      </w:r>
      <w:r w:rsidR="00EB1039" w:rsidRPr="00F71E4C">
        <w:t>”</w:t>
      </w:r>
      <w:r w:rsidRPr="00F71E4C">
        <w:t xml:space="preserve"> licence number is printed on the cover of the logbook.  One logbook </w:t>
      </w:r>
      <w:r w:rsidR="00F03213" w:rsidRPr="00F71E4C">
        <w:t>is intended to be used for all Sea C</w:t>
      </w:r>
      <w:r w:rsidRPr="00F71E4C">
        <w:t xml:space="preserve">ucumber landings for a single </w:t>
      </w:r>
      <w:r w:rsidR="00EB1039" w:rsidRPr="00F71E4C">
        <w:t>“</w:t>
      </w:r>
      <w:r w:rsidRPr="00F71E4C">
        <w:t>ZD</w:t>
      </w:r>
      <w:r w:rsidR="00EB1039" w:rsidRPr="00F71E4C">
        <w:t>”</w:t>
      </w:r>
      <w:r w:rsidRPr="00F71E4C">
        <w:t xml:space="preserve"> licence, even though the logbook may </w:t>
      </w:r>
      <w:r w:rsidR="00EB1039" w:rsidRPr="00F71E4C">
        <w:t>have more pages than required</w:t>
      </w:r>
      <w:r w:rsidR="00D71723" w:rsidRPr="00F71E4C">
        <w:t xml:space="preserve">.  </w:t>
      </w:r>
      <w:r w:rsidR="00A00AB6" w:rsidRPr="00F71E4C">
        <w:t>Fish harvesters</w:t>
      </w:r>
      <w:r w:rsidRPr="00F71E4C">
        <w:t xml:space="preserve"> must provide the </w:t>
      </w:r>
      <w:r w:rsidR="00EB1039" w:rsidRPr="00F71E4C">
        <w:t>o</w:t>
      </w:r>
      <w:r w:rsidRPr="00F71E4C">
        <w:t>bserver with two Validation and Harvest Logs when one licence quota is being completed and another licence quota on that vessel is to be started.</w:t>
      </w:r>
    </w:p>
    <w:p w14:paraId="69FF286F" w14:textId="77777777" w:rsidR="00DF615C" w:rsidRPr="00F71E4C" w:rsidRDefault="00DF615C" w:rsidP="00EB1039">
      <w:pPr>
        <w:pStyle w:val="Heading3"/>
      </w:pPr>
      <w:r w:rsidRPr="00F71E4C">
        <w:t>Examination of Logbooks</w:t>
      </w:r>
      <w:bookmarkEnd w:id="94"/>
    </w:p>
    <w:p w14:paraId="7CBF21AE" w14:textId="77777777" w:rsidR="00DF615C" w:rsidRPr="00F71E4C" w:rsidRDefault="00DF615C" w:rsidP="000272DE">
      <w:pPr>
        <w:pStyle w:val="Indent3"/>
        <w:ind w:left="0"/>
      </w:pPr>
      <w:r w:rsidRPr="00F71E4C">
        <w:t xml:space="preserve">The vessel master </w:t>
      </w:r>
      <w:r w:rsidR="000D1951" w:rsidRPr="00F71E4C">
        <w:t xml:space="preserve">must produce the Validation and Harvest log </w:t>
      </w:r>
      <w:r w:rsidRPr="00F71E4C">
        <w:t xml:space="preserve">on </w:t>
      </w:r>
      <w:r w:rsidR="000D1951" w:rsidRPr="00F71E4C">
        <w:t xml:space="preserve">the </w:t>
      </w:r>
      <w:r w:rsidRPr="00F71E4C">
        <w:t>request of a fishery officer, fishery guardian or an observer.</w:t>
      </w:r>
      <w:bookmarkStart w:id="95" w:name="_Toc429207374"/>
    </w:p>
    <w:p w14:paraId="4B7C1DFA" w14:textId="77777777" w:rsidR="00DF615C" w:rsidRPr="00F71E4C" w:rsidRDefault="00DF615C" w:rsidP="00EB1039">
      <w:pPr>
        <w:pStyle w:val="Heading3"/>
      </w:pPr>
      <w:r w:rsidRPr="00F71E4C">
        <w:t>Biological Sampling</w:t>
      </w:r>
    </w:p>
    <w:p w14:paraId="7396CCC5" w14:textId="77777777" w:rsidR="00DF615C" w:rsidRPr="00F71E4C" w:rsidRDefault="00A00AB6" w:rsidP="000272DE">
      <w:pPr>
        <w:pStyle w:val="Indent3"/>
        <w:ind w:left="0"/>
      </w:pPr>
      <w:r w:rsidRPr="00F71E4C">
        <w:t>Fish harvesters</w:t>
      </w:r>
      <w:r w:rsidR="00DF615C" w:rsidRPr="00F71E4C">
        <w:t xml:space="preserve"> will, from time to time, be required to assist Fisheries and Oceans Canada personnel and Fisheries and Oceans Canada certified observers in the sampling of </w:t>
      </w:r>
      <w:r w:rsidR="00ED4DFA" w:rsidRPr="00F71E4C">
        <w:t>S</w:t>
      </w:r>
      <w:r w:rsidR="00DF615C" w:rsidRPr="00F71E4C">
        <w:t xml:space="preserve">ea </w:t>
      </w:r>
      <w:r w:rsidR="00ED4DFA" w:rsidRPr="00F71E4C">
        <w:t>C</w:t>
      </w:r>
      <w:r w:rsidR="00DF615C" w:rsidRPr="00F71E4C">
        <w:t>ucumbers for fishery management and stock assessment purposes.</w:t>
      </w:r>
    </w:p>
    <w:p w14:paraId="7B3A904F" w14:textId="77777777" w:rsidR="00DF615C" w:rsidRPr="00F71E4C" w:rsidRDefault="00DF615C" w:rsidP="00EB1039">
      <w:pPr>
        <w:pStyle w:val="Heading3"/>
      </w:pPr>
      <w:r w:rsidRPr="00F71E4C">
        <w:t>Quota Confirmation</w:t>
      </w:r>
      <w:bookmarkEnd w:id="95"/>
    </w:p>
    <w:p w14:paraId="10BF1286" w14:textId="77777777" w:rsidR="00DF615C" w:rsidRPr="00F71E4C" w:rsidRDefault="00DF615C" w:rsidP="000272DE">
      <w:pPr>
        <w:pStyle w:val="Indent3"/>
        <w:ind w:left="0"/>
      </w:pPr>
      <w:r w:rsidRPr="00F71E4C">
        <w:t>Prior to fishing, the vessel master must confirm the remaining vessel quota from the Validation and Harvest Log.</w:t>
      </w:r>
    </w:p>
    <w:p w14:paraId="0D3660D8" w14:textId="77777777" w:rsidR="00DF615C" w:rsidRPr="00F71E4C" w:rsidRDefault="00DF615C" w:rsidP="008B104F">
      <w:pPr>
        <w:pStyle w:val="Heading3"/>
      </w:pPr>
      <w:bookmarkStart w:id="96" w:name="_Toc429207376"/>
      <w:r w:rsidRPr="00F71E4C">
        <w:t>Quota Overage</w:t>
      </w:r>
      <w:r w:rsidR="000D1951" w:rsidRPr="00F71E4C">
        <w:t>s</w:t>
      </w:r>
      <w:bookmarkEnd w:id="96"/>
      <w:r w:rsidR="00060F7F" w:rsidRPr="00F71E4C">
        <w:t xml:space="preserve"> </w:t>
      </w:r>
    </w:p>
    <w:p w14:paraId="7A2E00DA" w14:textId="77777777" w:rsidR="00060F7F" w:rsidRPr="00F71E4C" w:rsidRDefault="00060F7F" w:rsidP="000272DE">
      <w:pPr>
        <w:pStyle w:val="Indent3"/>
        <w:ind w:left="0"/>
      </w:pPr>
      <w:r w:rsidRPr="00F71E4C">
        <w:lastRenderedPageBreak/>
        <w:t xml:space="preserve">The amount of quota overage permitted to be transferred to another </w:t>
      </w:r>
      <w:r w:rsidR="00ED4DFA" w:rsidRPr="00F71E4C">
        <w:t>S</w:t>
      </w:r>
      <w:r w:rsidRPr="00F71E4C">
        <w:t xml:space="preserve">ea </w:t>
      </w:r>
      <w:r w:rsidR="00ED4DFA" w:rsidRPr="00F71E4C">
        <w:t>C</w:t>
      </w:r>
      <w:r w:rsidRPr="00F71E4C">
        <w:t>ucumber licence</w:t>
      </w:r>
      <w:r w:rsidR="00B14E46" w:rsidRPr="00F71E4C">
        <w:t xml:space="preserve"> (referred to as a S</w:t>
      </w:r>
      <w:r w:rsidR="003458EA" w:rsidRPr="00F71E4C">
        <w:t>ame</w:t>
      </w:r>
      <w:r w:rsidR="00B14E46" w:rsidRPr="00F71E4C">
        <w:t xml:space="preserve"> Vessel Transfer</w:t>
      </w:r>
      <w:r w:rsidR="003458EA" w:rsidRPr="00F71E4C">
        <w:t xml:space="preserve"> (</w:t>
      </w:r>
      <w:smartTag w:uri="urn:schemas-microsoft-com:office:smarttags" w:element="stockticker">
        <w:r w:rsidR="003458EA" w:rsidRPr="00F71E4C">
          <w:t>SVT</w:t>
        </w:r>
      </w:smartTag>
      <w:r w:rsidR="003458EA" w:rsidRPr="00F71E4C">
        <w:t>) or a Different Vessel Transfer (DVT)</w:t>
      </w:r>
      <w:r w:rsidR="00B14E46" w:rsidRPr="00F71E4C">
        <w:t>) has increased from a</w:t>
      </w:r>
      <w:r w:rsidRPr="00F71E4C">
        <w:t xml:space="preserve"> limit of 200 pounds to a new limit of 500 pounds. This in</w:t>
      </w:r>
      <w:r w:rsidR="00B14E46" w:rsidRPr="00F71E4C">
        <w:t>crease in the transferable overage limit reflects a</w:t>
      </w:r>
      <w:r w:rsidRPr="00F71E4C">
        <w:t xml:space="preserve"> change in the size of totes used to land </w:t>
      </w:r>
      <w:r w:rsidR="00ED4DFA" w:rsidRPr="00F71E4C">
        <w:t>S</w:t>
      </w:r>
      <w:r w:rsidRPr="00F71E4C">
        <w:t xml:space="preserve">ea </w:t>
      </w:r>
      <w:r w:rsidR="00ED4DFA" w:rsidRPr="00F71E4C">
        <w:t>C</w:t>
      </w:r>
      <w:r w:rsidRPr="00F71E4C">
        <w:t xml:space="preserve">ucumbers. When the 200 pound limit was first implemented, the industry landed </w:t>
      </w:r>
      <w:r w:rsidR="00ED4DFA" w:rsidRPr="00F71E4C">
        <w:t>S</w:t>
      </w:r>
      <w:r w:rsidRPr="00F71E4C">
        <w:t xml:space="preserve">ea </w:t>
      </w:r>
      <w:r w:rsidR="00ED4DFA" w:rsidRPr="00F71E4C">
        <w:t>C</w:t>
      </w:r>
      <w:r w:rsidRPr="00F71E4C">
        <w:t xml:space="preserve">ucumbers in smaller containers such as geoduck cages. Over time industry has moved to larger containers such as barrels and totes and </w:t>
      </w:r>
      <w:r w:rsidR="00B14E46" w:rsidRPr="00F71E4C">
        <w:t xml:space="preserve">it has become more difficult to estimate (at the </w:t>
      </w:r>
      <w:r w:rsidR="00F03213" w:rsidRPr="00F71E4C">
        <w:t>time of harvest) the weight of Sea C</w:t>
      </w:r>
      <w:r w:rsidR="00B14E46" w:rsidRPr="00F71E4C">
        <w:t xml:space="preserve">ucumbers in these containers within 200 pounds. </w:t>
      </w:r>
      <w:r w:rsidRPr="00F71E4C">
        <w:t xml:space="preserve"> </w:t>
      </w:r>
    </w:p>
    <w:p w14:paraId="51E3A8D9" w14:textId="77777777" w:rsidR="00B14E46" w:rsidRPr="00F71E4C" w:rsidRDefault="00B14E46" w:rsidP="000272DE">
      <w:pPr>
        <w:pStyle w:val="Indent3"/>
        <w:ind w:left="0"/>
        <w:rPr>
          <w:b/>
        </w:rPr>
      </w:pPr>
      <w:r w:rsidRPr="00F71E4C">
        <w:rPr>
          <w:b/>
        </w:rPr>
        <w:t xml:space="preserve">Overages that are not transferred to another licence are considered a Non-Transferable Overage (NTO) and the limit for this type of overage is zero. The Department will be monitoring </w:t>
      </w:r>
      <w:r w:rsidR="00B260D3" w:rsidRPr="00F71E4C">
        <w:rPr>
          <w:b/>
        </w:rPr>
        <w:t xml:space="preserve">NTO </w:t>
      </w:r>
      <w:r w:rsidRPr="00F71E4C">
        <w:rPr>
          <w:b/>
        </w:rPr>
        <w:t xml:space="preserve">quota overages and may pursue enforcement action for repeat offenders. </w:t>
      </w:r>
    </w:p>
    <w:p w14:paraId="25D17E33" w14:textId="77777777" w:rsidR="00876C70" w:rsidRPr="00F71E4C" w:rsidRDefault="00876C70" w:rsidP="000272DE">
      <w:pPr>
        <w:pStyle w:val="Indent3"/>
        <w:ind w:left="0"/>
        <w:rPr>
          <w:b/>
        </w:rPr>
      </w:pPr>
      <w:r w:rsidRPr="00F71E4C">
        <w:rPr>
          <w:b/>
        </w:rPr>
        <w:t xml:space="preserve">Any Quota </w:t>
      </w:r>
      <w:r w:rsidR="00BA202B" w:rsidRPr="00F71E4C">
        <w:rPr>
          <w:b/>
        </w:rPr>
        <w:t xml:space="preserve">Management </w:t>
      </w:r>
      <w:r w:rsidRPr="00F71E4C">
        <w:rPr>
          <w:b/>
        </w:rPr>
        <w:t xml:space="preserve">Area </w:t>
      </w:r>
      <w:smartTag w:uri="urn:schemas-microsoft-com:office:smarttags" w:element="stockticker">
        <w:r w:rsidRPr="00F71E4C">
          <w:rPr>
            <w:b/>
          </w:rPr>
          <w:t>TAC</w:t>
        </w:r>
      </w:smartTag>
      <w:r w:rsidRPr="00F71E4C">
        <w:rPr>
          <w:b/>
        </w:rPr>
        <w:t xml:space="preserve"> overages may be deducted from the next year’s Quota Area </w:t>
      </w:r>
      <w:smartTag w:uri="urn:schemas-microsoft-com:office:smarttags" w:element="stockticker">
        <w:r w:rsidRPr="00F71E4C">
          <w:rPr>
            <w:b/>
          </w:rPr>
          <w:t>TAC</w:t>
        </w:r>
      </w:smartTag>
      <w:r w:rsidRPr="00F71E4C">
        <w:rPr>
          <w:b/>
        </w:rPr>
        <w:t>.</w:t>
      </w:r>
      <w:r w:rsidR="00783FA9" w:rsidRPr="00F71E4C">
        <w:rPr>
          <w:b/>
        </w:rPr>
        <w:t xml:space="preserve"> </w:t>
      </w:r>
    </w:p>
    <w:p w14:paraId="70E33D8C" w14:textId="77777777" w:rsidR="00DF615C" w:rsidRPr="00F71E4C" w:rsidRDefault="00280943" w:rsidP="000272DE">
      <w:pPr>
        <w:pStyle w:val="Indent3"/>
        <w:ind w:left="0"/>
      </w:pPr>
      <w:r w:rsidRPr="00F71E4C">
        <w:t xml:space="preserve">Small quantities of </w:t>
      </w:r>
      <w:r w:rsidR="00ED4DFA" w:rsidRPr="00F71E4C">
        <w:t>S</w:t>
      </w:r>
      <w:r w:rsidR="00DF615C" w:rsidRPr="00F71E4C">
        <w:t xml:space="preserve">ea </w:t>
      </w:r>
      <w:r w:rsidR="00ED4DFA" w:rsidRPr="00F71E4C">
        <w:t>C</w:t>
      </w:r>
      <w:r w:rsidR="00DF615C" w:rsidRPr="00F71E4C">
        <w:t>ucumber</w:t>
      </w:r>
      <w:r w:rsidRPr="00F71E4C">
        <w:t>s which</w:t>
      </w:r>
      <w:r w:rsidR="000D1951" w:rsidRPr="00F71E4C">
        <w:t xml:space="preserve"> </w:t>
      </w:r>
      <w:r w:rsidR="00DF615C" w:rsidRPr="00F71E4C">
        <w:t xml:space="preserve">exceed the </w:t>
      </w:r>
      <w:proofErr w:type="spellStart"/>
      <w:r w:rsidR="00DF615C" w:rsidRPr="00F71E4C">
        <w:t>licence’s</w:t>
      </w:r>
      <w:proofErr w:type="spellEnd"/>
      <w:r w:rsidR="00DF615C" w:rsidRPr="00F71E4C">
        <w:t xml:space="preserve"> annual IQ </w:t>
      </w:r>
      <w:r w:rsidRPr="00F71E4C">
        <w:t xml:space="preserve">(up to </w:t>
      </w:r>
      <w:r w:rsidR="00783FA9" w:rsidRPr="00F71E4C">
        <w:t>5</w:t>
      </w:r>
      <w:r w:rsidRPr="00F71E4C">
        <w:t xml:space="preserve">00 </w:t>
      </w:r>
      <w:r w:rsidR="008B104F" w:rsidRPr="00F71E4C">
        <w:t>pounds</w:t>
      </w:r>
      <w:r w:rsidRPr="00F71E4C">
        <w:t xml:space="preserve">) </w:t>
      </w:r>
      <w:r w:rsidR="00DF615C" w:rsidRPr="00F71E4C">
        <w:t xml:space="preserve">may be transferred to another </w:t>
      </w:r>
      <w:r w:rsidR="00ED4DFA" w:rsidRPr="00F71E4C">
        <w:t>S</w:t>
      </w:r>
      <w:r w:rsidR="00DF615C" w:rsidRPr="00F71E4C">
        <w:t xml:space="preserve">ea </w:t>
      </w:r>
      <w:r w:rsidR="00ED4DFA" w:rsidRPr="00F71E4C">
        <w:t>C</w:t>
      </w:r>
      <w:r w:rsidR="00DF615C" w:rsidRPr="00F71E4C">
        <w:t xml:space="preserve">ucumber licence provided </w:t>
      </w:r>
      <w:r w:rsidR="000D1951" w:rsidRPr="00F71E4C">
        <w:t xml:space="preserve">the following </w:t>
      </w:r>
      <w:r w:rsidR="00DF615C" w:rsidRPr="00F71E4C">
        <w:t>conditions are fulfilled</w:t>
      </w:r>
      <w:r w:rsidR="00700361" w:rsidRPr="00F71E4C">
        <w:t>.  I</w:t>
      </w:r>
      <w:r w:rsidR="00DF615C" w:rsidRPr="00F71E4C">
        <w:t xml:space="preserve">f all of these conditions are not met, observers will not </w:t>
      </w:r>
      <w:bookmarkStart w:id="97" w:name="_Toc374776174"/>
      <w:r w:rsidR="00DF615C" w:rsidRPr="00F71E4C">
        <w:t>transfer the overage to another licence.</w:t>
      </w:r>
      <w:r w:rsidR="00C80965" w:rsidRPr="00F71E4C">
        <w:t xml:space="preserve">  </w:t>
      </w:r>
      <w:r w:rsidR="00DF615C" w:rsidRPr="00F71E4C">
        <w:t xml:space="preserve">In the following </w:t>
      </w:r>
      <w:r w:rsidR="000D1951" w:rsidRPr="00F71E4C">
        <w:t>descriptions</w:t>
      </w:r>
      <w:r w:rsidR="00DF615C" w:rsidRPr="00F71E4C">
        <w:t xml:space="preserve">, the </w:t>
      </w:r>
      <w:r w:rsidR="00ED4DFA" w:rsidRPr="00F71E4C">
        <w:t>S</w:t>
      </w:r>
      <w:r w:rsidR="00DF615C" w:rsidRPr="00F71E4C">
        <w:t xml:space="preserve">ea </w:t>
      </w:r>
      <w:r w:rsidR="00ED4DFA" w:rsidRPr="00F71E4C">
        <w:t>C</w:t>
      </w:r>
      <w:r w:rsidR="00DF615C" w:rsidRPr="00F71E4C">
        <w:t xml:space="preserve">ucumber licence which has exceeded its IQ is called Licence “A” and the licence to which </w:t>
      </w:r>
      <w:r w:rsidR="00BD0CBE" w:rsidRPr="00F71E4C">
        <w:t xml:space="preserve">landings are being </w:t>
      </w:r>
      <w:r w:rsidR="00DF615C" w:rsidRPr="00F71E4C">
        <w:t>transferred is called Licence “B”.</w:t>
      </w:r>
      <w:bookmarkEnd w:id="97"/>
    </w:p>
    <w:p w14:paraId="58BD0796" w14:textId="77777777" w:rsidR="00DF615C" w:rsidRPr="00F71E4C" w:rsidRDefault="00280943" w:rsidP="000272DE">
      <w:pPr>
        <w:pStyle w:val="Indent3"/>
        <w:ind w:left="0"/>
      </w:pPr>
      <w:r w:rsidRPr="00F71E4C">
        <w:t xml:space="preserve">Harvest of </w:t>
      </w:r>
      <w:r w:rsidR="00ED4DFA" w:rsidRPr="00F71E4C">
        <w:t>S</w:t>
      </w:r>
      <w:r w:rsidRPr="00F71E4C">
        <w:t xml:space="preserve">ea </w:t>
      </w:r>
      <w:r w:rsidR="00ED4DFA" w:rsidRPr="00F71E4C">
        <w:t>C</w:t>
      </w:r>
      <w:r w:rsidRPr="00F71E4C">
        <w:t>ucumbers over the IQ after the permitted quota overages adjustments may be subject to prosecution and seizure of the overage.</w:t>
      </w:r>
    </w:p>
    <w:p w14:paraId="66D8FCB3" w14:textId="77777777" w:rsidR="00DF615C" w:rsidRPr="00F71E4C" w:rsidRDefault="00DF615C" w:rsidP="000501F7">
      <w:pPr>
        <w:pStyle w:val="ListNumber3"/>
        <w:tabs>
          <w:tab w:val="clear" w:pos="1440"/>
          <w:tab w:val="num" w:pos="360"/>
        </w:tabs>
        <w:ind w:left="360"/>
      </w:pPr>
      <w:r w:rsidRPr="00F71E4C">
        <w:t xml:space="preserve">Transfer of </w:t>
      </w:r>
      <w:r w:rsidR="00BD0CBE" w:rsidRPr="00F71E4C">
        <w:t>landings</w:t>
      </w:r>
      <w:r w:rsidRPr="00F71E4C">
        <w:t xml:space="preserve"> to a Second Licence on the Same Vessel</w:t>
      </w:r>
      <w:r w:rsidR="00EE625C" w:rsidRPr="00F71E4C">
        <w:t xml:space="preserve"> - </w:t>
      </w:r>
      <w:r w:rsidRPr="00F71E4C">
        <w:t xml:space="preserve">If two or more </w:t>
      </w:r>
      <w:proofErr w:type="spellStart"/>
      <w:r w:rsidRPr="00F71E4C">
        <w:t>licences</w:t>
      </w:r>
      <w:proofErr w:type="spellEnd"/>
      <w:r w:rsidRPr="00F71E4C">
        <w:t xml:space="preserve"> are assigned to the same vessel then </w:t>
      </w:r>
      <w:r w:rsidR="00BD0CBE" w:rsidRPr="00F71E4C">
        <w:t>landings in excess of quota from</w:t>
      </w:r>
      <w:r w:rsidRPr="00F71E4C">
        <w:t xml:space="preserve"> one licence may be transferred to another </w:t>
      </w:r>
      <w:r w:rsidR="00ED4DFA" w:rsidRPr="00F71E4C">
        <w:t>S</w:t>
      </w:r>
      <w:r w:rsidRPr="00F71E4C">
        <w:t xml:space="preserve">ea </w:t>
      </w:r>
      <w:r w:rsidR="00ED4DFA" w:rsidRPr="00F71E4C">
        <w:t>C</w:t>
      </w:r>
      <w:r w:rsidRPr="00F71E4C">
        <w:t>ucumber licence on that vessel which has quota remaining.</w:t>
      </w:r>
      <w:r w:rsidR="00C80965" w:rsidRPr="00F71E4C">
        <w:t xml:space="preserve">  </w:t>
      </w:r>
      <w:r w:rsidRPr="00F71E4C">
        <w:t xml:space="preserve">Overage of the last </w:t>
      </w:r>
      <w:r w:rsidR="00ED4DFA" w:rsidRPr="00F71E4C">
        <w:t>S</w:t>
      </w:r>
      <w:r w:rsidRPr="00F71E4C">
        <w:t xml:space="preserve">ea </w:t>
      </w:r>
      <w:r w:rsidR="00ED4DFA" w:rsidRPr="00F71E4C">
        <w:t>C</w:t>
      </w:r>
      <w:r w:rsidRPr="00F71E4C">
        <w:t>ucumber licence on the same vessel may be t</w:t>
      </w:r>
      <w:r w:rsidR="00F03213" w:rsidRPr="00F71E4C">
        <w:t>ransferred to another vessel’s Sea C</w:t>
      </w:r>
      <w:r w:rsidRPr="00F71E4C">
        <w:t>ucumber licence in accordance with p</w:t>
      </w:r>
      <w:r w:rsidR="00713FEE" w:rsidRPr="00F71E4C">
        <w:t>rocedure</w:t>
      </w:r>
      <w:r w:rsidRPr="00F71E4C">
        <w:t xml:space="preserve"> described below.</w:t>
      </w:r>
    </w:p>
    <w:p w14:paraId="2D635EDB" w14:textId="77777777" w:rsidR="00DF615C" w:rsidRPr="00F71E4C" w:rsidRDefault="00DF615C" w:rsidP="000501F7">
      <w:pPr>
        <w:pStyle w:val="ListNumber3"/>
        <w:tabs>
          <w:tab w:val="clear" w:pos="1440"/>
          <w:tab w:val="num" w:pos="360"/>
        </w:tabs>
        <w:ind w:left="360"/>
      </w:pPr>
      <w:r w:rsidRPr="00F71E4C">
        <w:t xml:space="preserve">Maximum Allowable Transfer of </w:t>
      </w:r>
      <w:r w:rsidR="00A308ED" w:rsidRPr="00F71E4C">
        <w:t>Landings</w:t>
      </w:r>
      <w:r w:rsidRPr="00F71E4C">
        <w:t xml:space="preserve"> </w:t>
      </w:r>
      <w:r w:rsidR="008B104F" w:rsidRPr="00F71E4C">
        <w:t>between</w:t>
      </w:r>
      <w:r w:rsidRPr="00F71E4C">
        <w:t xml:space="preserve"> </w:t>
      </w:r>
      <w:proofErr w:type="spellStart"/>
      <w:r w:rsidRPr="00F71E4C">
        <w:t>Licences</w:t>
      </w:r>
      <w:proofErr w:type="spellEnd"/>
      <w:r w:rsidRPr="00F71E4C">
        <w:t xml:space="preserve"> on Different Vessels</w:t>
      </w:r>
      <w:r w:rsidR="00EE625C" w:rsidRPr="00F71E4C">
        <w:t xml:space="preserve"> - </w:t>
      </w:r>
      <w:r w:rsidRPr="00F71E4C">
        <w:t xml:space="preserve">In the event of a quota overage on </w:t>
      </w:r>
      <w:r w:rsidR="00ED4DFA" w:rsidRPr="00F71E4C">
        <w:t>S</w:t>
      </w:r>
      <w:r w:rsidRPr="00F71E4C">
        <w:t xml:space="preserve">ea </w:t>
      </w:r>
      <w:r w:rsidR="00ED4DFA" w:rsidRPr="00F71E4C">
        <w:t>C</w:t>
      </w:r>
      <w:r w:rsidRPr="00F71E4C">
        <w:t xml:space="preserve">ucumber Licence “A”, a maximum of </w:t>
      </w:r>
      <w:r w:rsidR="00783FA9" w:rsidRPr="00F71E4C">
        <w:t>5</w:t>
      </w:r>
      <w:r w:rsidRPr="00F71E4C">
        <w:t xml:space="preserve">00 </w:t>
      </w:r>
      <w:r w:rsidR="000528A1" w:rsidRPr="00F71E4C">
        <w:t>pounds</w:t>
      </w:r>
      <w:r w:rsidRPr="00F71E4C">
        <w:t xml:space="preserve"> of </w:t>
      </w:r>
      <w:r w:rsidR="00ED4DFA" w:rsidRPr="00F71E4C">
        <w:t>S</w:t>
      </w:r>
      <w:r w:rsidRPr="00F71E4C">
        <w:t xml:space="preserve">ea </w:t>
      </w:r>
      <w:r w:rsidR="00ED4DFA" w:rsidRPr="00F71E4C">
        <w:t>C</w:t>
      </w:r>
      <w:r w:rsidRPr="00F71E4C">
        <w:t xml:space="preserve">ucumber may be transferred to another vessel’s </w:t>
      </w:r>
      <w:r w:rsidR="00ED4DFA" w:rsidRPr="00F71E4C">
        <w:t>S</w:t>
      </w:r>
      <w:r w:rsidRPr="00F71E4C">
        <w:t xml:space="preserve">ea </w:t>
      </w:r>
      <w:r w:rsidR="00ED4DFA" w:rsidRPr="00F71E4C">
        <w:t>C</w:t>
      </w:r>
      <w:r w:rsidRPr="00F71E4C">
        <w:t>uc</w:t>
      </w:r>
      <w:r w:rsidR="000528A1" w:rsidRPr="00F71E4C">
        <w:t>umber licence (Licence “B”)</w:t>
      </w:r>
      <w:r w:rsidR="00EE625C" w:rsidRPr="00F71E4C">
        <w:t xml:space="preserve">.  Only one transfer of quota overage is allowed per licence.  The quota overage cannot be divided between a number of </w:t>
      </w:r>
      <w:proofErr w:type="spellStart"/>
      <w:r w:rsidR="00EE625C" w:rsidRPr="00F71E4C">
        <w:t>licences</w:t>
      </w:r>
      <w:proofErr w:type="spellEnd"/>
      <w:r w:rsidR="00EE625C" w:rsidRPr="00F71E4C">
        <w:t>.</w:t>
      </w:r>
    </w:p>
    <w:p w14:paraId="583ACCC0" w14:textId="77777777" w:rsidR="00DF615C" w:rsidRPr="00F71E4C" w:rsidRDefault="00EE625C" w:rsidP="000501F7">
      <w:pPr>
        <w:pStyle w:val="ListNumber3"/>
        <w:tabs>
          <w:tab w:val="clear" w:pos="1440"/>
          <w:tab w:val="num" w:pos="360"/>
        </w:tabs>
        <w:ind w:left="360"/>
      </w:pPr>
      <w:r w:rsidRPr="00F71E4C">
        <w:t xml:space="preserve">Remaining Quota on Second Licence - </w:t>
      </w:r>
      <w:r w:rsidR="00DF615C" w:rsidRPr="00F71E4C">
        <w:t xml:space="preserve">The amount of </w:t>
      </w:r>
      <w:r w:rsidR="00A308ED" w:rsidRPr="00F71E4C">
        <w:t>landings</w:t>
      </w:r>
      <w:r w:rsidR="00DF615C" w:rsidRPr="00F71E4C">
        <w:t xml:space="preserve"> transferred </w:t>
      </w:r>
      <w:r w:rsidR="00713FEE" w:rsidRPr="00F71E4C">
        <w:t xml:space="preserve">from licence “A” </w:t>
      </w:r>
      <w:r w:rsidR="00DF615C" w:rsidRPr="00F71E4C">
        <w:t xml:space="preserve">cannot exceed the remaining quota </w:t>
      </w:r>
      <w:r w:rsidR="00F03213" w:rsidRPr="00F71E4C">
        <w:t>of Sea C</w:t>
      </w:r>
      <w:r w:rsidR="00016CD0" w:rsidRPr="00F71E4C">
        <w:t>ucumber Licence “B”.</w:t>
      </w:r>
    </w:p>
    <w:p w14:paraId="62CDCFBE" w14:textId="77777777" w:rsidR="00DF615C" w:rsidRPr="00F71E4C" w:rsidRDefault="00EE625C" w:rsidP="000501F7">
      <w:pPr>
        <w:pStyle w:val="ListNumber3"/>
        <w:tabs>
          <w:tab w:val="clear" w:pos="1440"/>
          <w:tab w:val="num" w:pos="360"/>
        </w:tabs>
        <w:ind w:left="360"/>
      </w:pPr>
      <w:r w:rsidRPr="00F71E4C">
        <w:t xml:space="preserve">Sea </w:t>
      </w:r>
      <w:r w:rsidR="006062A2" w:rsidRPr="00F71E4C">
        <w:t>Cucumber</w:t>
      </w:r>
      <w:r w:rsidRPr="00F71E4C">
        <w:t xml:space="preserve"> Licence Area - </w:t>
      </w:r>
      <w:r w:rsidR="00DF615C" w:rsidRPr="00F71E4C">
        <w:t xml:space="preserve">Both vessels involved in a transfer of </w:t>
      </w:r>
      <w:r w:rsidR="00A308ED" w:rsidRPr="00F71E4C">
        <w:t>landings</w:t>
      </w:r>
      <w:r w:rsidR="00DF615C" w:rsidRPr="00F71E4C">
        <w:t xml:space="preserve"> must be licensed to fish in the same area and have active </w:t>
      </w:r>
      <w:proofErr w:type="spellStart"/>
      <w:r w:rsidR="00DF615C" w:rsidRPr="00F71E4C">
        <w:t>licences</w:t>
      </w:r>
      <w:proofErr w:type="spellEnd"/>
      <w:r w:rsidR="00DF615C" w:rsidRPr="00F71E4C">
        <w:t xml:space="preserve"> for that licence year.</w:t>
      </w:r>
    </w:p>
    <w:p w14:paraId="0CA79EBE" w14:textId="6E78BEAC" w:rsidR="00DF615C" w:rsidRDefault="00DF615C" w:rsidP="000501F7">
      <w:pPr>
        <w:pStyle w:val="ListNumber3"/>
        <w:tabs>
          <w:tab w:val="clear" w:pos="1440"/>
          <w:tab w:val="num" w:pos="360"/>
        </w:tabs>
        <w:ind w:left="360"/>
      </w:pPr>
      <w:r w:rsidRPr="00F71E4C">
        <w:t>Documentation</w:t>
      </w:r>
      <w:r w:rsidR="00EE625C" w:rsidRPr="00F71E4C">
        <w:t xml:space="preserve"> - </w:t>
      </w:r>
      <w:r w:rsidRPr="00F71E4C">
        <w:t xml:space="preserve">The </w:t>
      </w:r>
      <w:r w:rsidR="00ED4DFA" w:rsidRPr="00F71E4C">
        <w:t>S</w:t>
      </w:r>
      <w:r w:rsidRPr="00F71E4C">
        <w:t xml:space="preserve">ea </w:t>
      </w:r>
      <w:r w:rsidR="00ED4DFA" w:rsidRPr="00F71E4C">
        <w:t>C</w:t>
      </w:r>
      <w:r w:rsidRPr="00F71E4C">
        <w:t xml:space="preserve">ucumber Validation and Harvest Log for each of the </w:t>
      </w:r>
      <w:proofErr w:type="spellStart"/>
      <w:r w:rsidRPr="00F71E4C">
        <w:t>licences</w:t>
      </w:r>
      <w:proofErr w:type="spellEnd"/>
      <w:r w:rsidRPr="00F71E4C">
        <w:t xml:space="preserve"> involved in the transfer must be present at the time of the validation.</w:t>
      </w:r>
      <w:r w:rsidR="00C80965" w:rsidRPr="00F71E4C">
        <w:t xml:space="preserve">  </w:t>
      </w:r>
      <w:r w:rsidRPr="00F71E4C">
        <w:t>Both vessel masters must make their intention to transfer or receive overage clear to the Observer prior to unloading</w:t>
      </w:r>
      <w:r w:rsidR="00700361" w:rsidRPr="00F71E4C">
        <w:t>.  I</w:t>
      </w:r>
      <w:r w:rsidRPr="00F71E4C">
        <w:t>n the event of a packer landing, a note signed by both vessel masters should accompany the product to advise the observer that there is a mutual agreement to transfer.</w:t>
      </w:r>
    </w:p>
    <w:p w14:paraId="21A4C0D8" w14:textId="77777777" w:rsidR="00B91C64" w:rsidRPr="00F71E4C" w:rsidRDefault="00B91C64" w:rsidP="00B91C64">
      <w:pPr>
        <w:pStyle w:val="Heading2"/>
      </w:pPr>
      <w:bookmarkStart w:id="98" w:name="_Toc107404351"/>
      <w:r w:rsidRPr="00F71E4C">
        <w:t>Oral Reports (Condition #11)</w:t>
      </w:r>
      <w:bookmarkEnd w:id="98"/>
    </w:p>
    <w:p w14:paraId="4886DCA9" w14:textId="77777777" w:rsidR="00B91C64" w:rsidRPr="00F71E4C" w:rsidRDefault="00B91C64" w:rsidP="00B91C64">
      <w:pPr>
        <w:pStyle w:val="Indent2"/>
        <w:ind w:left="0"/>
      </w:pPr>
      <w:r w:rsidRPr="00F71E4C">
        <w:lastRenderedPageBreak/>
        <w:t>Fishing notification requirements that are described in the Conditions of Licence must be followed by each licensed vessel in order for the service provider and the Department to track effort and harvest on a daily basis.</w:t>
      </w:r>
    </w:p>
    <w:p w14:paraId="78CC1017" w14:textId="77777777" w:rsidR="00B91C64" w:rsidRPr="00F71E4C" w:rsidRDefault="00B91C64" w:rsidP="00B91C64">
      <w:pPr>
        <w:pStyle w:val="Indent2"/>
        <w:ind w:left="0"/>
      </w:pPr>
      <w:r w:rsidRPr="00F71E4C">
        <w:t>When vessels do not hail into a harvest area, there is a risk of exceeding the quota.  In order to maintain a sustainable fishery, it is extremely important that effort and landings in a particular harvest area be reported and recorded accurately.</w:t>
      </w:r>
    </w:p>
    <w:p w14:paraId="2937B649" w14:textId="6882094D" w:rsidR="00B91C64" w:rsidRPr="00F71E4C" w:rsidRDefault="00B91C64" w:rsidP="00B91C64">
      <w:pPr>
        <w:pStyle w:val="Indent2"/>
        <w:ind w:left="0"/>
      </w:pPr>
      <w:r w:rsidRPr="00F71E4C">
        <w:t>Observer phone numbers are available from D&amp;D Pacific Fisheries Ltd.  If weather results in a change in arrival time the vessel master must immediately advise the observer via telephone of these changes.</w:t>
      </w:r>
    </w:p>
    <w:p w14:paraId="15819606" w14:textId="77777777" w:rsidR="0073450B" w:rsidRPr="00F71E4C" w:rsidRDefault="00063CC7" w:rsidP="008B104F">
      <w:pPr>
        <w:pStyle w:val="Heading2"/>
      </w:pPr>
      <w:bookmarkStart w:id="99" w:name="_Toc107404352"/>
      <w:bookmarkEnd w:id="91"/>
      <w:r w:rsidRPr="00F71E4C">
        <w:t>Catch and Fishing Data (Co</w:t>
      </w:r>
      <w:r w:rsidR="00520D73" w:rsidRPr="00F71E4C">
        <w:t>ndition #12</w:t>
      </w:r>
      <w:r w:rsidRPr="00F71E4C">
        <w:t>)</w:t>
      </w:r>
      <w:bookmarkEnd w:id="99"/>
    </w:p>
    <w:p w14:paraId="27652418" w14:textId="77777777" w:rsidR="00063CC7" w:rsidRPr="00F71E4C" w:rsidRDefault="0073450B" w:rsidP="000272DE">
      <w:pPr>
        <w:pStyle w:val="Indent2"/>
        <w:ind w:left="0"/>
      </w:pPr>
      <w:bookmarkStart w:id="100" w:name="_Toc429207380"/>
      <w:bookmarkStart w:id="101" w:name="Group3"/>
      <w:r w:rsidRPr="00F71E4C">
        <w:t xml:space="preserve">It is a Condition of Licence and the responsibility of the licence holder to ensure that harvest and chart information is received by Fisheries and Oceans Canada Shellfish Data Unit and meets </w:t>
      </w:r>
      <w:r w:rsidR="00B21889" w:rsidRPr="00F71E4C">
        <w:t>the conditions outlined below.</w:t>
      </w:r>
      <w:r w:rsidR="00063CC7" w:rsidRPr="00F71E4C">
        <w:t xml:space="preserve">  </w:t>
      </w:r>
      <w:r w:rsidR="00A00AB6" w:rsidRPr="00F71E4C">
        <w:t>Fish harvesters</w:t>
      </w:r>
      <w:r w:rsidR="00063CC7" w:rsidRPr="00F71E4C">
        <w:t xml:space="preserve"> hav</w:t>
      </w:r>
      <w:r w:rsidR="00963692" w:rsidRPr="00F71E4C">
        <w:t>ing</w:t>
      </w:r>
      <w:r w:rsidR="00063CC7" w:rsidRPr="00F71E4C">
        <w:t xml:space="preserve"> validation services completed by D&amp;D Pacific Fisheries Ltd. will receive these services as part of that contract.  </w:t>
      </w:r>
    </w:p>
    <w:p w14:paraId="6E26843C" w14:textId="77777777" w:rsidR="0073450B" w:rsidRPr="00F71E4C" w:rsidRDefault="0073450B" w:rsidP="000272DE">
      <w:pPr>
        <w:pStyle w:val="Indent2"/>
        <w:ind w:left="0"/>
      </w:pPr>
      <w:r w:rsidRPr="00F71E4C">
        <w:t>Validation and Harvest Logbooks meeting Fisheries and Oceans Canada require</w:t>
      </w:r>
      <w:r w:rsidR="003B22C3" w:rsidRPr="00F71E4C">
        <w:t xml:space="preserve">ments (see example in Appendix </w:t>
      </w:r>
      <w:r w:rsidR="00602976" w:rsidRPr="00F71E4C">
        <w:t>8</w:t>
      </w:r>
      <w:r w:rsidRPr="00F71E4C">
        <w:t xml:space="preserve">) are available from service </w:t>
      </w:r>
      <w:r w:rsidR="00063CC7" w:rsidRPr="00F71E4C">
        <w:t>providers</w:t>
      </w:r>
      <w:r w:rsidR="00700361" w:rsidRPr="00F71E4C">
        <w:t>.  T</w:t>
      </w:r>
      <w:r w:rsidRPr="00F71E4C">
        <w:t xml:space="preserve">he service </w:t>
      </w:r>
      <w:r w:rsidR="00063CC7" w:rsidRPr="00F71E4C">
        <w:t>provider</w:t>
      </w:r>
      <w:r w:rsidRPr="00F71E4C">
        <w:t xml:space="preserve"> will, for a fee, provide the Validation and Harvest Log coding and keypunch service, including the electronic capture of harvest chart location information into Geographic Information System (</w:t>
      </w:r>
      <w:smartTag w:uri="urn:schemas-microsoft-com:office:smarttags" w:element="stockticker">
        <w:r w:rsidRPr="00F71E4C">
          <w:t>GIS</w:t>
        </w:r>
      </w:smartTag>
      <w:r w:rsidRPr="00F71E4C">
        <w:t>), (as well as fishing notification and catch validation)</w:t>
      </w:r>
      <w:r w:rsidR="00700361" w:rsidRPr="00F71E4C">
        <w:t>.  T</w:t>
      </w:r>
      <w:r w:rsidRPr="00F71E4C">
        <w:t xml:space="preserve">hus, the service </w:t>
      </w:r>
      <w:r w:rsidR="00267C55" w:rsidRPr="00F71E4C">
        <w:t>provider</w:t>
      </w:r>
      <w:r w:rsidRPr="00F71E4C">
        <w:t>s provide compliance with the licence requirements for a hard (paper) and electronic copies, including fishing location information, for harvest log data.</w:t>
      </w:r>
    </w:p>
    <w:p w14:paraId="56ABD1A1" w14:textId="77777777" w:rsidR="0073450B" w:rsidRPr="00F71E4C" w:rsidRDefault="00A00AB6" w:rsidP="000272DE">
      <w:pPr>
        <w:pStyle w:val="Indent2"/>
        <w:ind w:left="0"/>
      </w:pPr>
      <w:r w:rsidRPr="00F71E4C">
        <w:t>Fish harvesters</w:t>
      </w:r>
      <w:r w:rsidR="0073450B" w:rsidRPr="00F71E4C">
        <w:t xml:space="preserve"> are required to have their portions of both the validation and harvest sections completed before validation, or by </w:t>
      </w:r>
      <w:smartTag w:uri="urn:schemas-microsoft-com:office:smarttags" w:element="time">
        <w:smartTagPr>
          <w:attr w:name="Minute" w:val="0"/>
          <w:attr w:name="Hour" w:val="0"/>
        </w:smartTagPr>
        <w:r w:rsidR="0073450B" w:rsidRPr="00F71E4C">
          <w:t>midnight</w:t>
        </w:r>
      </w:smartTag>
      <w:r w:rsidR="0073450B" w:rsidRPr="00F71E4C">
        <w:t xml:space="preserve"> of the day on which fishing occurred, whichever comes first.</w:t>
      </w:r>
      <w:r w:rsidR="00C80965" w:rsidRPr="00F71E4C">
        <w:t xml:space="preserve">  </w:t>
      </w:r>
      <w:r w:rsidR="0073450B" w:rsidRPr="00F71E4C">
        <w:t>An accurate chart record must be completed for each Validation and Harvest log entry.</w:t>
      </w:r>
    </w:p>
    <w:p w14:paraId="1895F39E" w14:textId="77777777" w:rsidR="0073450B" w:rsidRPr="00F71E4C" w:rsidRDefault="0073450B" w:rsidP="002858EA">
      <w:pPr>
        <w:pStyle w:val="Heading3"/>
      </w:pPr>
      <w:r w:rsidRPr="00F71E4C">
        <w:t>Harvest Data</w:t>
      </w:r>
      <w:bookmarkEnd w:id="100"/>
    </w:p>
    <w:p w14:paraId="4BAFBDFA" w14:textId="2B68289F" w:rsidR="0073450B" w:rsidRPr="00F71E4C" w:rsidRDefault="0073450B" w:rsidP="000272DE">
      <w:pPr>
        <w:pStyle w:val="Indent3"/>
        <w:ind w:left="0"/>
      </w:pPr>
      <w:r w:rsidRPr="00F71E4C">
        <w:t>The vessel master is responsible for the provision and maintenance of an accurate record, a “log</w:t>
      </w:r>
      <w:r w:rsidR="00FE24B8" w:rsidRPr="00F71E4C">
        <w:t>”,</w:t>
      </w:r>
      <w:r w:rsidRPr="00F71E4C">
        <w:t xml:space="preserve"> of daily harvest operations.</w:t>
      </w:r>
      <w:r w:rsidR="00C80965" w:rsidRPr="00F71E4C">
        <w:t xml:space="preserve">  </w:t>
      </w:r>
      <w:r w:rsidRPr="00F71E4C">
        <w:t xml:space="preserve">Catch information must be recorded in the harvest log by </w:t>
      </w:r>
      <w:smartTag w:uri="urn:schemas-microsoft-com:office:smarttags" w:element="time">
        <w:smartTagPr>
          <w:attr w:name="Minute" w:val="0"/>
          <w:attr w:name="Hour" w:val="0"/>
        </w:smartTagPr>
        <w:r w:rsidRPr="00F71E4C">
          <w:t>midnight</w:t>
        </w:r>
      </w:smartTag>
      <w:r w:rsidRPr="00F71E4C">
        <w:t xml:space="preserve"> of the day of fishing</w:t>
      </w:r>
      <w:r w:rsidR="00700361" w:rsidRPr="00F71E4C">
        <w:t>.  T</w:t>
      </w:r>
      <w:r w:rsidRPr="00F71E4C">
        <w:t>he logbook must be kept aboard the licensed vessel</w:t>
      </w:r>
      <w:r w:rsidR="00700361" w:rsidRPr="00F71E4C">
        <w:t>.  T</w:t>
      </w:r>
      <w:r w:rsidRPr="00F71E4C">
        <w:t>his log must be completed and a copy submitted in both hard copy (paper) and electronic form in an approved format as defined by Fisheries and Oceans</w:t>
      </w:r>
      <w:r w:rsidR="00EA2639">
        <w:t>,</w:t>
      </w:r>
      <w:r w:rsidRPr="00F71E4C">
        <w:t xml:space="preserve"> Shellfish Data Unit.</w:t>
      </w:r>
    </w:p>
    <w:p w14:paraId="301807E6" w14:textId="5B865510" w:rsidR="0073450B" w:rsidRPr="00F71E4C" w:rsidRDefault="0073450B" w:rsidP="000272DE">
      <w:pPr>
        <w:pStyle w:val="Indent3"/>
        <w:ind w:left="0"/>
      </w:pPr>
      <w:r w:rsidRPr="00F71E4C">
        <w:t>The vessel master is also responsible for the provision of a daily harvest chart record of each location fished by each diver</w:t>
      </w:r>
      <w:r w:rsidR="00700361" w:rsidRPr="00F71E4C">
        <w:t>.  T</w:t>
      </w:r>
      <w:r w:rsidRPr="00F71E4C">
        <w:t>his harvest chart must have marked directly on it the VRN, the licence tab number and validation ID numbers</w:t>
      </w:r>
      <w:r w:rsidR="00700361" w:rsidRPr="00F71E4C">
        <w:t>.  T</w:t>
      </w:r>
      <w:r w:rsidRPr="00F71E4C">
        <w:t>he harvest site must be clearly marked on the chart with dive or record numbers pertaining to each harvest log catch record and dates that fishing activity occurred at each site</w:t>
      </w:r>
      <w:r w:rsidR="00700361" w:rsidRPr="00F71E4C">
        <w:t>.  T</w:t>
      </w:r>
      <w:r w:rsidRPr="00F71E4C">
        <w:t xml:space="preserve">he vessel master is also responsible for the electronic capture of harvest location data into </w:t>
      </w:r>
      <w:smartTag w:uri="urn:schemas-microsoft-com:office:smarttags" w:element="stockticker">
        <w:r w:rsidRPr="00F71E4C">
          <w:t>GIS</w:t>
        </w:r>
      </w:smartTag>
      <w:r w:rsidR="00700361" w:rsidRPr="00F71E4C">
        <w:t>.  T</w:t>
      </w:r>
      <w:r w:rsidRPr="00F71E4C">
        <w:t xml:space="preserve">his chart must be completed and a copy submitted in </w:t>
      </w:r>
      <w:r w:rsidRPr="00F71E4C">
        <w:lastRenderedPageBreak/>
        <w:t>both hard copy (paper) and electronic form in an approved format as defined by Fisheries and Oceans Canada</w:t>
      </w:r>
      <w:r w:rsidR="00EA2639">
        <w:t>,</w:t>
      </w:r>
      <w:r w:rsidRPr="00F71E4C">
        <w:t xml:space="preserve"> Shellfish Data Unit.</w:t>
      </w:r>
    </w:p>
    <w:p w14:paraId="24F3C17F" w14:textId="77777777" w:rsidR="00976E3E" w:rsidRPr="00F71E4C" w:rsidRDefault="00976E3E" w:rsidP="00593773">
      <w:pPr>
        <w:pStyle w:val="Indent3"/>
        <w:ind w:left="0"/>
      </w:pPr>
      <w:bookmarkStart w:id="102" w:name="Licencevesselholder"/>
      <w:bookmarkEnd w:id="101"/>
      <w:r w:rsidRPr="00F71E4C">
        <w:t xml:space="preserve">The original white page copy of the log, </w:t>
      </w:r>
      <w:r w:rsidRPr="00F71E4C">
        <w:rPr>
          <w:u w:val="single"/>
        </w:rPr>
        <w:t xml:space="preserve">the accompanying chart </w:t>
      </w:r>
      <w:r w:rsidR="00D71723" w:rsidRPr="00F71E4C">
        <w:rPr>
          <w:u w:val="single"/>
        </w:rPr>
        <w:t>record,</w:t>
      </w:r>
      <w:r w:rsidRPr="00F71E4C">
        <w:rPr>
          <w:u w:val="single"/>
        </w:rPr>
        <w:t xml:space="preserve"> and the electronic copies must be </w:t>
      </w:r>
      <w:r w:rsidR="00321D02" w:rsidRPr="00F71E4C">
        <w:rPr>
          <w:u w:val="single"/>
        </w:rPr>
        <w:t>available to the Department within</w:t>
      </w:r>
      <w:r w:rsidRPr="00F71E4C">
        <w:rPr>
          <w:u w:val="single"/>
        </w:rPr>
        <w:t xml:space="preserve"> </w:t>
      </w:r>
      <w:r w:rsidR="00647CC1" w:rsidRPr="00F71E4C">
        <w:rPr>
          <w:u w:val="single"/>
        </w:rPr>
        <w:t>one month of the harvesting having occurred.</w:t>
      </w:r>
      <w:r w:rsidRPr="00F71E4C">
        <w:t xml:space="preserve">  </w:t>
      </w:r>
      <w:r w:rsidR="00A00AB6" w:rsidRPr="00F71E4C">
        <w:t>Fish harvesters</w:t>
      </w:r>
      <w:r w:rsidRPr="00F71E4C">
        <w:t xml:space="preserve"> who have validation services completed by D&amp;D Pacific Fisheries Ltd. will receive this service as part of that contract.  </w:t>
      </w:r>
    </w:p>
    <w:p w14:paraId="3652EECB" w14:textId="77777777" w:rsidR="00923B5A" w:rsidRPr="00F71E4C" w:rsidRDefault="00923B5A" w:rsidP="00D8774F">
      <w:pPr>
        <w:pStyle w:val="Heading3"/>
      </w:pPr>
      <w:r w:rsidRPr="00F71E4C">
        <w:t xml:space="preserve">Submission and </w:t>
      </w:r>
      <w:r w:rsidR="002858EA" w:rsidRPr="00F71E4C">
        <w:t>Release of Harvest Log Data</w:t>
      </w:r>
    </w:p>
    <w:p w14:paraId="269FAA6E" w14:textId="77777777" w:rsidR="00923B5A" w:rsidRPr="00F71E4C" w:rsidRDefault="00923B5A" w:rsidP="000272DE">
      <w:pPr>
        <w:pStyle w:val="Indent3"/>
        <w:ind w:left="0"/>
      </w:pPr>
      <w:r w:rsidRPr="00F71E4C">
        <w:t>The licence holder of record with the Pacific Fishery Licensing Unit is responsible to ensure that the vessel master has completed and submitted a copy of the harvest data</w:t>
      </w:r>
      <w:r w:rsidR="00700361" w:rsidRPr="00F71E4C">
        <w:t>.  F</w:t>
      </w:r>
      <w:r w:rsidRPr="00F71E4C">
        <w:t>isheries and Oceans Canada can only release harvest data to the licence holder of record and only upon written request.</w:t>
      </w:r>
    </w:p>
    <w:p w14:paraId="5659F8C7" w14:textId="77777777" w:rsidR="00923B5A" w:rsidRPr="00F71E4C" w:rsidRDefault="00923B5A" w:rsidP="002858EA">
      <w:pPr>
        <w:pStyle w:val="Heading3"/>
      </w:pPr>
      <w:r w:rsidRPr="00F71E4C">
        <w:t xml:space="preserve">Nil </w:t>
      </w:r>
      <w:r w:rsidR="002858EA" w:rsidRPr="00F71E4C">
        <w:t>Report for Harvest Log - Licence Issued But Not Fished</w:t>
      </w:r>
    </w:p>
    <w:p w14:paraId="54A9DAAF" w14:textId="77777777" w:rsidR="0073450B" w:rsidRPr="00F71E4C" w:rsidRDefault="0073450B" w:rsidP="000272DE">
      <w:pPr>
        <w:pStyle w:val="Indent3"/>
        <w:ind w:left="0"/>
      </w:pPr>
      <w:r w:rsidRPr="00F71E4C">
        <w:t>In the event that a licence is issued</w:t>
      </w:r>
      <w:r w:rsidR="001514D6" w:rsidRPr="00F71E4C">
        <w:t xml:space="preserve"> and</w:t>
      </w:r>
      <w:r w:rsidR="00321D02" w:rsidRPr="00F71E4C">
        <w:t xml:space="preserve"> designated to a vessel</w:t>
      </w:r>
      <w:r w:rsidRPr="00F71E4C">
        <w:t xml:space="preserve"> but not fished, the licence holder is responsible for submitting a nil report for the season</w:t>
      </w:r>
      <w:r w:rsidR="00700361" w:rsidRPr="00F71E4C">
        <w:t>.  T</w:t>
      </w:r>
      <w:r w:rsidRPr="00F71E4C">
        <w:t>he nil report must be submitted prior to the issuing of approval for licence renewal.</w:t>
      </w:r>
      <w:r w:rsidR="00C80965" w:rsidRPr="00F71E4C">
        <w:t xml:space="preserve">  </w:t>
      </w:r>
      <w:r w:rsidRPr="00F71E4C">
        <w:t>One page from the harvest logbook identifying the vessel, licence tab number, and the year with “nil” entered in the body of the log and signed by the licence holder constitutes a nil report.</w:t>
      </w:r>
    </w:p>
    <w:p w14:paraId="13375719" w14:textId="77777777" w:rsidR="0073450B" w:rsidRPr="00F71E4C" w:rsidRDefault="0073450B" w:rsidP="000272DE">
      <w:pPr>
        <w:pStyle w:val="Indent3"/>
        <w:ind w:left="0"/>
      </w:pPr>
      <w:r w:rsidRPr="00F71E4C">
        <w:rPr>
          <w:b/>
        </w:rPr>
        <w:t xml:space="preserve">Fisheries and Oceans Canada wishes to remind </w:t>
      </w:r>
      <w:r w:rsidR="00A00AB6" w:rsidRPr="00F71E4C">
        <w:rPr>
          <w:b/>
        </w:rPr>
        <w:t>fish harvesters</w:t>
      </w:r>
      <w:r w:rsidRPr="00F71E4C">
        <w:rPr>
          <w:b/>
        </w:rPr>
        <w:t xml:space="preserve"> that harvest logs must be completed accurately during fishing operations and submitted to Fisheries and Oceans Canada in accordance with the timing set out in Conditions of Licence.</w:t>
      </w:r>
      <w:r w:rsidR="00B8045E" w:rsidRPr="00F71E4C">
        <w:rPr>
          <w:b/>
        </w:rPr>
        <w:t xml:space="preserve">  </w:t>
      </w:r>
      <w:r w:rsidRPr="00F71E4C">
        <w:rPr>
          <w:b/>
        </w:rPr>
        <w:t>Delay of completion or submission of logs is a violation of a Condition of Licence.</w:t>
      </w:r>
    </w:p>
    <w:p w14:paraId="4D1526A9" w14:textId="77777777" w:rsidR="0073450B" w:rsidRPr="00F71E4C" w:rsidRDefault="0073450B" w:rsidP="002858EA">
      <w:pPr>
        <w:pStyle w:val="Heading3"/>
      </w:pPr>
      <w:bookmarkStart w:id="103" w:name="_Toc404155224"/>
      <w:bookmarkStart w:id="104" w:name="_Toc429207381"/>
      <w:r w:rsidRPr="00F71E4C">
        <w:t>Confidentiality of Harvest Data</w:t>
      </w:r>
      <w:bookmarkEnd w:id="103"/>
      <w:bookmarkEnd w:id="104"/>
    </w:p>
    <w:p w14:paraId="3F78ED4C" w14:textId="77777777" w:rsidR="0073450B" w:rsidRPr="00F71E4C" w:rsidRDefault="0073450B" w:rsidP="000272DE">
      <w:pPr>
        <w:pStyle w:val="Indent3"/>
        <w:ind w:left="0"/>
      </w:pPr>
      <w:bookmarkStart w:id="105" w:name="_Toc404155225"/>
      <w:bookmarkStart w:id="106" w:name="_Toc429207382"/>
      <w:r w:rsidRPr="00F71E4C">
        <w:t>Harvest data, including fishing location data supplied through latitude/longitude co-ordinates, loran or chart records, collected under the Validation and Harvest Logbooks for Shellfish Fisheries programs, are collected for use by Fisheries and Oceans Canada in the proper assessment, management</w:t>
      </w:r>
      <w:r w:rsidR="0051315C" w:rsidRPr="00F71E4C">
        <w:t xml:space="preserve"> and control of the fisheries</w:t>
      </w:r>
      <w:r w:rsidR="00D71723" w:rsidRPr="00F71E4C">
        <w:t xml:space="preserve">.  </w:t>
      </w:r>
      <w:r w:rsidRPr="00F71E4C">
        <w:t>Upon receipt by Fisheries and Oceans Canada of harvest log data and/or fishing location information supplied by</w:t>
      </w:r>
      <w:r w:rsidR="00E22642" w:rsidRPr="00F71E4C">
        <w:t xml:space="preserve"> the </w:t>
      </w:r>
      <w:r w:rsidR="00D71723" w:rsidRPr="00F71E4C">
        <w:t xml:space="preserve">harvester </w:t>
      </w:r>
      <w:r w:rsidR="00E22642" w:rsidRPr="00F71E4C">
        <w:t>in accordance with C</w:t>
      </w:r>
      <w:r w:rsidRPr="00F71E4C">
        <w:t>onditions</w:t>
      </w:r>
      <w:r w:rsidR="00E22642" w:rsidRPr="00F71E4C">
        <w:t xml:space="preserve"> of L</w:t>
      </w:r>
      <w:r w:rsidRPr="00F71E4C">
        <w:t xml:space="preserve">icence, Section 20(1)(b) of the </w:t>
      </w:r>
      <w:r w:rsidRPr="00F71E4C">
        <w:rPr>
          <w:i/>
        </w:rPr>
        <w:t>Access to Information Act</w:t>
      </w:r>
      <w:r w:rsidRPr="00F71E4C">
        <w:t xml:space="preserve"> prevents Fisheries and Oceans Canada from disclosing to a third party, records containing financial, commercial, scientific or technical information that is confidential</w:t>
      </w:r>
      <w:r w:rsidR="00700361" w:rsidRPr="00F71E4C">
        <w:t>.  F</w:t>
      </w:r>
      <w:r w:rsidRPr="00F71E4C">
        <w:t xml:space="preserve">urther, Section 20(1)(c) of the </w:t>
      </w:r>
      <w:r w:rsidRPr="00F71E4C">
        <w:rPr>
          <w:i/>
        </w:rPr>
        <w:t>Act</w:t>
      </w:r>
      <w:r w:rsidRPr="00F71E4C">
        <w:t xml:space="preserve"> prevents Fisheries and Oceans Canada from giving out information, the disclosure of which could reasonably be expected to result in material financial loss or could reasonably be expected to prejudice the competitive position of the fish</w:t>
      </w:r>
      <w:r w:rsidR="005737D5" w:rsidRPr="00F71E4C">
        <w:t xml:space="preserve"> harvest</w:t>
      </w:r>
      <w:r w:rsidRPr="00F71E4C">
        <w:t>er.</w:t>
      </w:r>
    </w:p>
    <w:p w14:paraId="1D345687" w14:textId="77777777" w:rsidR="0073450B" w:rsidRPr="00F71E4C" w:rsidRDefault="0073450B" w:rsidP="00E22642">
      <w:pPr>
        <w:pStyle w:val="Heading2"/>
      </w:pPr>
      <w:bookmarkStart w:id="107" w:name="_Toc107404353"/>
      <w:r w:rsidRPr="00F71E4C">
        <w:t xml:space="preserve">Fish </w:t>
      </w:r>
      <w:r w:rsidR="00E22642" w:rsidRPr="00F71E4C">
        <w:t xml:space="preserve">Slip </w:t>
      </w:r>
      <w:bookmarkEnd w:id="105"/>
      <w:bookmarkEnd w:id="106"/>
      <w:r w:rsidR="00E22642" w:rsidRPr="00F71E4C">
        <w:t xml:space="preserve">Data </w:t>
      </w:r>
      <w:r w:rsidR="00267C55" w:rsidRPr="00F71E4C">
        <w:t>(Condition #</w:t>
      </w:r>
      <w:r w:rsidR="00520D73" w:rsidRPr="00F71E4C">
        <w:t>13</w:t>
      </w:r>
      <w:r w:rsidR="00267C55" w:rsidRPr="00F71E4C">
        <w:t>)</w:t>
      </w:r>
      <w:bookmarkEnd w:id="107"/>
    </w:p>
    <w:p w14:paraId="7BE82B51" w14:textId="77777777" w:rsidR="001514D6" w:rsidRPr="00F71E4C" w:rsidRDefault="00E22642" w:rsidP="000272DE">
      <w:pPr>
        <w:pStyle w:val="Indent3"/>
        <w:ind w:left="0"/>
      </w:pPr>
      <w:r w:rsidRPr="00F71E4C">
        <w:t>It is a C</w:t>
      </w:r>
      <w:r w:rsidR="0073450B" w:rsidRPr="00F71E4C">
        <w:t xml:space="preserve">ondition of </w:t>
      </w:r>
      <w:r w:rsidRPr="00F71E4C">
        <w:t>L</w:t>
      </w:r>
      <w:r w:rsidR="0073450B" w:rsidRPr="00F71E4C">
        <w:t>icence that an accurate written report shall be furnished on a fish slip of all fish and shellfish caught under the authority of this licence.</w:t>
      </w:r>
      <w:r w:rsidR="00B8045E" w:rsidRPr="00F71E4C">
        <w:t xml:space="preserve">  </w:t>
      </w:r>
      <w:r w:rsidR="0073450B" w:rsidRPr="00F71E4C">
        <w:t>A report must be made even if the fish and shellfish landed are used for bait, personal consumption, or otherwise disposed.</w:t>
      </w:r>
    </w:p>
    <w:p w14:paraId="14D2BE0F" w14:textId="77777777" w:rsidR="00C50FCE" w:rsidRPr="00F71E4C" w:rsidRDefault="0073450B" w:rsidP="00C50FCE">
      <w:pPr>
        <w:pStyle w:val="Heading2"/>
        <w:widowControl w:val="0"/>
      </w:pPr>
      <w:bookmarkStart w:id="108" w:name="_Toc429207384"/>
      <w:bookmarkStart w:id="109" w:name="_Toc107404354"/>
      <w:bookmarkStart w:id="110" w:name="_Toc429207385"/>
      <w:bookmarkStart w:id="111" w:name="_Toc452284368"/>
      <w:bookmarkStart w:id="112" w:name="_Toc429207387"/>
      <w:bookmarkEnd w:id="102"/>
      <w:r w:rsidRPr="00F71E4C">
        <w:lastRenderedPageBreak/>
        <w:t xml:space="preserve">Export </w:t>
      </w:r>
      <w:r w:rsidR="00E22642" w:rsidRPr="00F71E4C">
        <w:t>R</w:t>
      </w:r>
      <w:r w:rsidRPr="00F71E4C">
        <w:t>equirements</w:t>
      </w:r>
      <w:bookmarkEnd w:id="108"/>
      <w:bookmarkEnd w:id="109"/>
    </w:p>
    <w:p w14:paraId="73D21432" w14:textId="187B0A4E" w:rsidR="00C50FCE" w:rsidRPr="00F71E4C" w:rsidRDefault="00F03213" w:rsidP="000272DE">
      <w:r w:rsidRPr="00F71E4C">
        <w:t>It is important to note that Sea C</w:t>
      </w:r>
      <w:r w:rsidR="00C50FCE" w:rsidRPr="00F71E4C">
        <w:t xml:space="preserve">ucumbers being processed for export out of the province must be processed at a federally registered facility.  Each country receiving </w:t>
      </w:r>
      <w:r w:rsidR="004F5BC9" w:rsidRPr="00F71E4C">
        <w:t>S</w:t>
      </w:r>
      <w:r w:rsidR="00C50FCE" w:rsidRPr="00F71E4C">
        <w:t xml:space="preserve">ea </w:t>
      </w:r>
      <w:r w:rsidR="004F5BC9" w:rsidRPr="00F71E4C">
        <w:t>C</w:t>
      </w:r>
      <w:r w:rsidR="00C50FCE" w:rsidRPr="00F71E4C">
        <w:t xml:space="preserve">ucumbers may have different import requirements.  </w:t>
      </w:r>
      <w:r w:rsidR="00DA57FD">
        <w:t xml:space="preserve">See the </w:t>
      </w:r>
      <w:r w:rsidR="00C50FCE" w:rsidRPr="00F71E4C">
        <w:t>Canadian Food Inspection Agency</w:t>
      </w:r>
      <w:r w:rsidR="00DA57FD">
        <w:t>’s website for further information:</w:t>
      </w:r>
    </w:p>
    <w:p w14:paraId="5D5DBEB2" w14:textId="46E3AD30" w:rsidR="00C50FCE" w:rsidRPr="00DA57FD" w:rsidRDefault="00EA2639" w:rsidP="00DA57FD">
      <w:pPr>
        <w:pStyle w:val="Indent2"/>
        <w:ind w:left="0"/>
        <w:jc w:val="both"/>
      </w:pPr>
      <w:hyperlink r:id="rId18" w:history="1">
        <w:r w:rsidR="00DA57FD" w:rsidRPr="00F96728">
          <w:rPr>
            <w:rStyle w:val="Hyperlink"/>
          </w:rPr>
          <w:t>https://inspection.canada.ca/food-safety-for-industry/toolkit-for-food-businesses/sfcr-handbook-for-food-businesses/eng/1481560206153/1481560532540?chap=0</w:t>
        </w:r>
      </w:hyperlink>
      <w:r w:rsidR="00DA57FD" w:rsidRPr="00F96728">
        <w:t xml:space="preserve"> </w:t>
      </w:r>
    </w:p>
    <w:p w14:paraId="7069884E" w14:textId="355C4A4B" w:rsidR="00C50FCE" w:rsidRPr="00F71E4C" w:rsidRDefault="00DC4AE8" w:rsidP="000272DE">
      <w:r>
        <w:t xml:space="preserve">Requirements can vary so </w:t>
      </w:r>
      <w:r w:rsidR="00C50FCE" w:rsidRPr="00F71E4C">
        <w:t xml:space="preserve">exporters of </w:t>
      </w:r>
      <w:r w:rsidR="004F5BC9" w:rsidRPr="00F71E4C">
        <w:t>S</w:t>
      </w:r>
      <w:r w:rsidR="00C50FCE" w:rsidRPr="00F71E4C">
        <w:t xml:space="preserve">ea </w:t>
      </w:r>
      <w:r w:rsidR="004F5BC9" w:rsidRPr="00F71E4C">
        <w:t>C</w:t>
      </w:r>
      <w:r w:rsidR="00C50FCE" w:rsidRPr="00F71E4C">
        <w:t>ucumbers are encouraged to verify foreign country import requirements though their customers prior to export.</w:t>
      </w:r>
    </w:p>
    <w:p w14:paraId="1B9F09C8" w14:textId="77777777" w:rsidR="0073450B" w:rsidRPr="00F71E4C" w:rsidRDefault="0073450B" w:rsidP="000272DE">
      <w:pPr>
        <w:pStyle w:val="Indent2"/>
        <w:ind w:left="0"/>
      </w:pPr>
      <w:r w:rsidRPr="00F71E4C">
        <w:t xml:space="preserve">The Dive Harvest Log and fish slip </w:t>
      </w:r>
      <w:r w:rsidR="00E22642" w:rsidRPr="00F71E4C">
        <w:t>C</w:t>
      </w:r>
      <w:r w:rsidRPr="00F71E4C">
        <w:t xml:space="preserve">onditions of </w:t>
      </w:r>
      <w:r w:rsidR="00E22642" w:rsidRPr="00F71E4C">
        <w:t>L</w:t>
      </w:r>
      <w:r w:rsidRPr="00F71E4C">
        <w:t xml:space="preserve">icence must be complied with, even for </w:t>
      </w:r>
      <w:r w:rsidR="004F5BC9" w:rsidRPr="00F71E4C">
        <w:t>S</w:t>
      </w:r>
      <w:r w:rsidRPr="00F71E4C">
        <w:t xml:space="preserve">ea </w:t>
      </w:r>
      <w:r w:rsidR="004F5BC9" w:rsidRPr="00F71E4C">
        <w:t>C</w:t>
      </w:r>
      <w:r w:rsidRPr="00F71E4C">
        <w:t xml:space="preserve">ucumbers exported from </w:t>
      </w:r>
      <w:r w:rsidR="000528A1" w:rsidRPr="00F71E4C">
        <w:t>British Columbia</w:t>
      </w:r>
      <w:r w:rsidRPr="00F71E4C">
        <w:t>, which have not gone through a federally registered processing plant.</w:t>
      </w:r>
    </w:p>
    <w:p w14:paraId="3F46F16F" w14:textId="77777777" w:rsidR="000367B5" w:rsidRPr="00F71E4C" w:rsidRDefault="00FD02B3" w:rsidP="00C379AA">
      <w:pPr>
        <w:pStyle w:val="Heading1"/>
        <w:keepLines/>
      </w:pPr>
      <w:bookmarkStart w:id="113" w:name="_Toc107404355"/>
      <w:bookmarkEnd w:id="110"/>
      <w:bookmarkEnd w:id="111"/>
      <w:bookmarkEnd w:id="112"/>
      <w:r w:rsidRPr="00F71E4C">
        <w:t xml:space="preserve">open times AND </w:t>
      </w:r>
      <w:r w:rsidR="000367B5" w:rsidRPr="00F71E4C">
        <w:t xml:space="preserve">quota </w:t>
      </w:r>
      <w:r w:rsidR="003C7CA6" w:rsidRPr="00F71E4C">
        <w:t xml:space="preserve">management </w:t>
      </w:r>
      <w:r w:rsidR="000367B5" w:rsidRPr="00F71E4C">
        <w:t>areas</w:t>
      </w:r>
      <w:bookmarkEnd w:id="0"/>
      <w:bookmarkEnd w:id="1"/>
      <w:bookmarkEnd w:id="113"/>
    </w:p>
    <w:p w14:paraId="1FA8F682" w14:textId="77777777" w:rsidR="00FD02B3" w:rsidRPr="00F71E4C" w:rsidRDefault="00FD02B3" w:rsidP="00FD02B3">
      <w:pPr>
        <w:pStyle w:val="Heading2"/>
      </w:pPr>
      <w:bookmarkStart w:id="114" w:name="_Toc107404356"/>
      <w:r w:rsidRPr="00F71E4C">
        <w:t>General Information</w:t>
      </w:r>
      <w:bookmarkEnd w:id="114"/>
    </w:p>
    <w:p w14:paraId="3005A222" w14:textId="61763BE2" w:rsidR="001204B5" w:rsidRPr="00F71E4C" w:rsidRDefault="00AE0818" w:rsidP="000501F7">
      <w:r>
        <w:t>The 202</w:t>
      </w:r>
      <w:r w:rsidR="00F84FB4">
        <w:t>2</w:t>
      </w:r>
      <w:r w:rsidR="00D66D57" w:rsidRPr="00F71E4C">
        <w:t>/20</w:t>
      </w:r>
      <w:r>
        <w:t>2</w:t>
      </w:r>
      <w:r w:rsidR="00F84FB4">
        <w:t>3</w:t>
      </w:r>
      <w:r w:rsidR="001204B5" w:rsidRPr="00F71E4C">
        <w:t xml:space="preserve"> fishery will be conducted</w:t>
      </w:r>
      <w:r w:rsidR="00B56410" w:rsidRPr="00F71E4C">
        <w:t xml:space="preserve"> </w:t>
      </w:r>
      <w:r w:rsidR="001204B5" w:rsidRPr="00F71E4C">
        <w:t xml:space="preserve">from October </w:t>
      </w:r>
      <w:r w:rsidR="00ED364D" w:rsidRPr="00F71E4C">
        <w:t>1</w:t>
      </w:r>
      <w:r>
        <w:t>, 202</w:t>
      </w:r>
      <w:r w:rsidR="00F84FB4">
        <w:t>2</w:t>
      </w:r>
      <w:r w:rsidR="001204B5" w:rsidRPr="00F71E4C">
        <w:t xml:space="preserve"> t</w:t>
      </w:r>
      <w:r w:rsidR="00E05695" w:rsidRPr="00F71E4C">
        <w:t>hrough</w:t>
      </w:r>
      <w:r w:rsidR="001204B5" w:rsidRPr="00F71E4C">
        <w:t xml:space="preserve"> </w:t>
      </w:r>
      <w:r w:rsidR="00B16A5A" w:rsidRPr="00F71E4C">
        <w:t xml:space="preserve">December </w:t>
      </w:r>
      <w:r>
        <w:t>7, 202</w:t>
      </w:r>
      <w:r w:rsidR="007E2D1C">
        <w:t>2</w:t>
      </w:r>
      <w:r w:rsidR="001204B5" w:rsidRPr="00F71E4C">
        <w:t>.</w:t>
      </w:r>
      <w:r w:rsidR="0037002A" w:rsidRPr="00F71E4C">
        <w:t xml:space="preserve"> </w:t>
      </w:r>
      <w:r w:rsidR="00B16A5A" w:rsidRPr="00F71E4C">
        <w:t xml:space="preserve">The North Coast licence area </w:t>
      </w:r>
      <w:r w:rsidR="00AF2053" w:rsidRPr="00F71E4C">
        <w:t xml:space="preserve">will open on </w:t>
      </w:r>
      <w:r w:rsidR="00B16A5A" w:rsidRPr="00F71E4C">
        <w:t xml:space="preserve">October </w:t>
      </w:r>
      <w:r w:rsidR="00AF2053" w:rsidRPr="00F71E4C">
        <w:t>1</w:t>
      </w:r>
      <w:r>
        <w:t>, 202</w:t>
      </w:r>
      <w:r w:rsidR="00F84FB4">
        <w:t>2</w:t>
      </w:r>
      <w:r w:rsidR="00B16A5A" w:rsidRPr="00F71E4C">
        <w:t xml:space="preserve"> and is scheduled to remain</w:t>
      </w:r>
      <w:r w:rsidR="00B56410" w:rsidRPr="00F71E4C">
        <w:t xml:space="preserve"> open</w:t>
      </w:r>
      <w:r w:rsidR="00B16A5A" w:rsidRPr="00F71E4C">
        <w:t xml:space="preserve"> until November 30</w:t>
      </w:r>
      <w:r>
        <w:t>, 202</w:t>
      </w:r>
      <w:r w:rsidR="007E2D1C">
        <w:t>2</w:t>
      </w:r>
      <w:r w:rsidR="00952E49" w:rsidRPr="00F71E4C">
        <w:t>.</w:t>
      </w:r>
      <w:r w:rsidR="00B16A5A" w:rsidRPr="00F71E4C">
        <w:t xml:space="preserve">  The Central Coast, and Wes</w:t>
      </w:r>
      <w:r w:rsidR="00B56410" w:rsidRPr="00F71E4C">
        <w:t xml:space="preserve">t Coast Vancouver Island licence areas will open on </w:t>
      </w:r>
      <w:r w:rsidR="00B56410" w:rsidRPr="00924C75">
        <w:t xml:space="preserve">October </w:t>
      </w:r>
      <w:r w:rsidR="00AF2053" w:rsidRPr="00924C75">
        <w:t>8</w:t>
      </w:r>
      <w:r w:rsidRPr="00924C75">
        <w:t>, 202</w:t>
      </w:r>
      <w:r w:rsidR="007E2D1C" w:rsidRPr="00924C75">
        <w:t>2</w:t>
      </w:r>
      <w:r w:rsidR="00B56410" w:rsidRPr="00F71E4C">
        <w:t xml:space="preserve"> and are scheduled to remain open until December </w:t>
      </w:r>
      <w:r w:rsidR="00CD794D" w:rsidRPr="00F71E4C">
        <w:t>7</w:t>
      </w:r>
      <w:r>
        <w:t>, 202</w:t>
      </w:r>
      <w:r w:rsidR="007E2D1C">
        <w:t>2</w:t>
      </w:r>
      <w:r w:rsidR="00952E49" w:rsidRPr="00F71E4C">
        <w:t>.</w:t>
      </w:r>
      <w:r w:rsidR="00B56410" w:rsidRPr="00F71E4C">
        <w:t xml:space="preserve"> </w:t>
      </w:r>
      <w:r w:rsidR="00B16A5A" w:rsidRPr="00F71E4C">
        <w:t xml:space="preserve"> </w:t>
      </w:r>
      <w:r>
        <w:t>For the 202</w:t>
      </w:r>
      <w:r w:rsidR="007E2D1C">
        <w:t>2</w:t>
      </w:r>
      <w:r w:rsidR="00AF2053" w:rsidRPr="00F71E4C">
        <w:t xml:space="preserve"> season certain QMAs in the East Coast Vancouver Island licence area will open on October 1</w:t>
      </w:r>
      <w:r>
        <w:t>, 202</w:t>
      </w:r>
      <w:r w:rsidR="007E2D1C">
        <w:t>2</w:t>
      </w:r>
      <w:r w:rsidR="00AF2053" w:rsidRPr="00F71E4C">
        <w:t xml:space="preserve"> and the rest will open on October 8</w:t>
      </w:r>
      <w:r>
        <w:t>, 202</w:t>
      </w:r>
      <w:r w:rsidR="007E2D1C">
        <w:t>2</w:t>
      </w:r>
      <w:r w:rsidR="00AF2053" w:rsidRPr="00F71E4C">
        <w:t>. The E</w:t>
      </w:r>
      <w:r w:rsidR="00952E49" w:rsidRPr="00F71E4C">
        <w:t xml:space="preserve">ast </w:t>
      </w:r>
      <w:r w:rsidR="00AF2053" w:rsidRPr="00F71E4C">
        <w:t>C</w:t>
      </w:r>
      <w:r w:rsidR="00952E49" w:rsidRPr="00F71E4C">
        <w:t xml:space="preserve">oast of </w:t>
      </w:r>
      <w:r w:rsidR="00AF2053" w:rsidRPr="00F71E4C">
        <w:t>V</w:t>
      </w:r>
      <w:r w:rsidR="00952E49" w:rsidRPr="00F71E4C">
        <w:t xml:space="preserve">ancouver </w:t>
      </w:r>
      <w:r w:rsidR="00AF2053" w:rsidRPr="00F71E4C">
        <w:t>I</w:t>
      </w:r>
      <w:r w:rsidR="00952E49" w:rsidRPr="00F71E4C">
        <w:t>sland</w:t>
      </w:r>
      <w:r w:rsidR="00AF2053" w:rsidRPr="00F71E4C">
        <w:t xml:space="preserve"> licence area is scheduled to remain open until December 7</w:t>
      </w:r>
      <w:r>
        <w:t>, 20</w:t>
      </w:r>
      <w:r w:rsidR="00FB18E2">
        <w:t>22</w:t>
      </w:r>
      <w:r w:rsidR="00952E49" w:rsidRPr="00F71E4C">
        <w:t xml:space="preserve">. </w:t>
      </w:r>
      <w:r w:rsidR="00AF2053" w:rsidRPr="00F71E4C">
        <w:t xml:space="preserve"> </w:t>
      </w:r>
      <w:r w:rsidR="00952E49" w:rsidRPr="00F71E4C">
        <w:t xml:space="preserve">Licence areas may close prior to their scheduled end dates if licence area TACs are completed earlier than the scheduled season end.  </w:t>
      </w:r>
      <w:r w:rsidR="009A64A7" w:rsidRPr="00F71E4C">
        <w:t xml:space="preserve">An extension </w:t>
      </w:r>
      <w:r w:rsidR="00B56410" w:rsidRPr="00F71E4C">
        <w:t>to the scheduled season</w:t>
      </w:r>
      <w:r w:rsidR="009A64A7" w:rsidRPr="00F71E4C">
        <w:t xml:space="preserve"> will be considered</w:t>
      </w:r>
      <w:r w:rsidR="006469C1" w:rsidRPr="00F71E4C">
        <w:t xml:space="preserve"> by the Department</w:t>
      </w:r>
      <w:r w:rsidR="009A64A7" w:rsidRPr="00F71E4C">
        <w:t xml:space="preserve"> only if </w:t>
      </w:r>
      <w:r w:rsidR="006469C1" w:rsidRPr="00F71E4C">
        <w:t>requested</w:t>
      </w:r>
      <w:r w:rsidR="009A64A7" w:rsidRPr="00F71E4C">
        <w:t xml:space="preserve"> by the Pacific Sea Cucumber Harvesters Association</w:t>
      </w:r>
      <w:r w:rsidR="00EE3FCD" w:rsidRPr="00F71E4C">
        <w:t xml:space="preserve"> in writing</w:t>
      </w:r>
      <w:r w:rsidR="009A64A7" w:rsidRPr="00F71E4C">
        <w:t>.</w:t>
      </w:r>
      <w:r w:rsidR="006469C1" w:rsidRPr="00F71E4C">
        <w:t xml:space="preserve">  Requests will generally be considered only if they are due to unforeseen weather even</w:t>
      </w:r>
      <w:r w:rsidR="001721FE" w:rsidRPr="00F71E4C">
        <w:t>ts that have prevented the TAC from being completed</w:t>
      </w:r>
      <w:r w:rsidR="006469C1" w:rsidRPr="00F71E4C">
        <w:t xml:space="preserve"> during the regular scheduled season. </w:t>
      </w:r>
    </w:p>
    <w:p w14:paraId="6329C213" w14:textId="77777777" w:rsidR="009F6E0D" w:rsidRPr="00F71E4C" w:rsidRDefault="000367B5" w:rsidP="000501F7">
      <w:r w:rsidRPr="00F71E4C">
        <w:t xml:space="preserve">For proper management of the fishery, </w:t>
      </w:r>
      <w:r w:rsidR="003C7CA6" w:rsidRPr="00F71E4C">
        <w:t>Q</w:t>
      </w:r>
      <w:r w:rsidRPr="00F71E4C">
        <w:t xml:space="preserve">uota </w:t>
      </w:r>
      <w:r w:rsidR="003C7CA6" w:rsidRPr="00F71E4C">
        <w:t>M</w:t>
      </w:r>
      <w:r w:rsidRPr="00F71E4C">
        <w:t xml:space="preserve">anagement </w:t>
      </w:r>
      <w:r w:rsidR="003C7CA6" w:rsidRPr="00F71E4C">
        <w:t>A</w:t>
      </w:r>
      <w:r w:rsidRPr="00F71E4C">
        <w:t>reas will be opened and fished in the sequence shown below</w:t>
      </w:r>
      <w:r w:rsidR="003E28F3" w:rsidRPr="00F71E4C">
        <w:t>.</w:t>
      </w:r>
      <w:r w:rsidR="003E28F3" w:rsidRPr="00F71E4C">
        <w:rPr>
          <w:b/>
        </w:rPr>
        <w:t xml:space="preserve">  Due to the many changes to the commercial </w:t>
      </w:r>
      <w:r w:rsidR="004F5BC9" w:rsidRPr="00F71E4C">
        <w:rPr>
          <w:b/>
        </w:rPr>
        <w:t>S</w:t>
      </w:r>
      <w:r w:rsidR="003E28F3" w:rsidRPr="00F71E4C">
        <w:rPr>
          <w:b/>
        </w:rPr>
        <w:t xml:space="preserve">ea </w:t>
      </w:r>
      <w:r w:rsidR="004F5BC9" w:rsidRPr="00F71E4C">
        <w:rPr>
          <w:b/>
        </w:rPr>
        <w:t>C</w:t>
      </w:r>
      <w:r w:rsidR="003E28F3" w:rsidRPr="00F71E4C">
        <w:rPr>
          <w:b/>
        </w:rPr>
        <w:t>ucumber fishery in the las</w:t>
      </w:r>
      <w:r w:rsidR="00FD1DD4" w:rsidRPr="00F71E4C">
        <w:rPr>
          <w:b/>
        </w:rPr>
        <w:t>t few years</w:t>
      </w:r>
      <w:r w:rsidR="003E28F3" w:rsidRPr="00F71E4C">
        <w:rPr>
          <w:b/>
        </w:rPr>
        <w:t>, h</w:t>
      </w:r>
      <w:r w:rsidRPr="00F71E4C">
        <w:rPr>
          <w:b/>
        </w:rPr>
        <w:t xml:space="preserve">arvesters are advised to maintain good contact with the fishery manager, the service </w:t>
      </w:r>
      <w:r w:rsidR="00267C55" w:rsidRPr="00F71E4C">
        <w:rPr>
          <w:b/>
        </w:rPr>
        <w:t>provider</w:t>
      </w:r>
      <w:r w:rsidR="00CA4F54" w:rsidRPr="00F71E4C">
        <w:rPr>
          <w:b/>
        </w:rPr>
        <w:t>,</w:t>
      </w:r>
      <w:r w:rsidRPr="00F71E4C">
        <w:rPr>
          <w:b/>
        </w:rPr>
        <w:t xml:space="preserve"> or the On-Grounds Co-</w:t>
      </w:r>
      <w:proofErr w:type="spellStart"/>
      <w:r w:rsidRPr="00F71E4C">
        <w:rPr>
          <w:b/>
        </w:rPr>
        <w:t>ordinators</w:t>
      </w:r>
      <w:proofErr w:type="spellEnd"/>
      <w:r w:rsidRPr="00F71E4C">
        <w:rPr>
          <w:b/>
        </w:rPr>
        <w:t>, to avoid fishing in a closed area.</w:t>
      </w:r>
    </w:p>
    <w:p w14:paraId="540736EE" w14:textId="77777777" w:rsidR="00FD02B3" w:rsidRPr="00F71E4C" w:rsidRDefault="00FD02B3" w:rsidP="00FD02B3">
      <w:pPr>
        <w:pStyle w:val="Heading2"/>
      </w:pPr>
      <w:bookmarkStart w:id="115" w:name="_Toc107404357"/>
      <w:r w:rsidRPr="00F71E4C">
        <w:t>Quota Management Area Table</w:t>
      </w:r>
      <w:bookmarkEnd w:id="115"/>
    </w:p>
    <w:p w14:paraId="33D3351C" w14:textId="77777777" w:rsidR="00D96461" w:rsidRPr="00F71E4C" w:rsidRDefault="007604A6" w:rsidP="008853FF">
      <w:pPr>
        <w:pStyle w:val="Indent1"/>
      </w:pPr>
      <w:r w:rsidRPr="00F71E4C">
        <w:rPr>
          <w:b/>
          <w:u w:val="single"/>
        </w:rPr>
        <w:t>IMPORTANT:</w:t>
      </w:r>
      <w:r w:rsidRPr="00F71E4C">
        <w:t xml:space="preserve"> </w:t>
      </w:r>
      <w:r w:rsidR="00256C01" w:rsidRPr="00F71E4C">
        <w:t xml:space="preserve">Please see </w:t>
      </w:r>
      <w:r w:rsidR="00256C01" w:rsidRPr="001A145F">
        <w:t>S</w:t>
      </w:r>
      <w:r w:rsidR="001721FE" w:rsidRPr="001A145F">
        <w:t>ection 5</w:t>
      </w:r>
      <w:r w:rsidR="00683CB9" w:rsidRPr="001A145F">
        <w:t xml:space="preserve"> for</w:t>
      </w:r>
      <w:r w:rsidR="00683CB9" w:rsidRPr="00F71E4C">
        <w:t xml:space="preserve"> descriptions of all closures and Append</w:t>
      </w:r>
      <w:r w:rsidR="005A3D3B" w:rsidRPr="00F71E4C">
        <w:t xml:space="preserve">ix </w:t>
      </w:r>
      <w:r w:rsidR="001721FE" w:rsidRPr="00F71E4C">
        <w:t>9</w:t>
      </w:r>
      <w:r w:rsidR="00683CB9" w:rsidRPr="00F71E4C">
        <w:t xml:space="preserve"> for a full description of all Quota Management Areas</w:t>
      </w:r>
      <w:r w:rsidR="00294645" w:rsidRPr="00F71E4C">
        <w:t xml:space="preserve"> (QMA)</w:t>
      </w:r>
      <w:r w:rsidR="002408C2" w:rsidRPr="00F71E4C">
        <w:t xml:space="preserve">. </w:t>
      </w:r>
      <w:proofErr w:type="spellStart"/>
      <w:r w:rsidR="0048470D" w:rsidRPr="00F71E4C">
        <w:t>Ptn</w:t>
      </w:r>
      <w:proofErr w:type="spellEnd"/>
      <w:r w:rsidR="0048470D" w:rsidRPr="00F71E4C">
        <w:t xml:space="preserve">. </w:t>
      </w:r>
      <w:r w:rsidR="002408C2" w:rsidRPr="00F71E4C">
        <w:t>= Portion of a Subarea</w:t>
      </w:r>
      <w:r w:rsidR="00AD1926" w:rsidRPr="00F71E4C">
        <w:t>.</w:t>
      </w:r>
    </w:p>
    <w:tbl>
      <w:tblPr>
        <w:tblStyle w:val="TableGrid"/>
        <w:tblW w:w="9576" w:type="dxa"/>
        <w:tblLayout w:type="fixed"/>
        <w:tblLook w:val="04A0" w:firstRow="1" w:lastRow="0" w:firstColumn="1" w:lastColumn="0" w:noHBand="0" w:noVBand="1"/>
      </w:tblPr>
      <w:tblGrid>
        <w:gridCol w:w="1324"/>
        <w:gridCol w:w="1643"/>
        <w:gridCol w:w="2016"/>
        <w:gridCol w:w="2213"/>
        <w:gridCol w:w="992"/>
        <w:gridCol w:w="1388"/>
      </w:tblGrid>
      <w:tr w:rsidR="00F67328" w:rsidRPr="00F71E4C" w14:paraId="5FDBB7F5" w14:textId="77777777" w:rsidTr="00F53FDF">
        <w:tc>
          <w:tcPr>
            <w:tcW w:w="1324" w:type="dxa"/>
            <w:tcBorders>
              <w:bottom w:val="single" w:sz="4" w:space="0" w:color="auto"/>
            </w:tcBorders>
            <w:vAlign w:val="center"/>
          </w:tcPr>
          <w:p w14:paraId="48A9352F" w14:textId="77777777" w:rsidR="009F3BBA" w:rsidRPr="00F71E4C" w:rsidRDefault="009F3BBA" w:rsidP="00DA7044">
            <w:pPr>
              <w:pStyle w:val="Indent1"/>
              <w:jc w:val="center"/>
              <w:rPr>
                <w:b/>
              </w:rPr>
            </w:pPr>
            <w:r w:rsidRPr="00F71E4C">
              <w:rPr>
                <w:b/>
              </w:rPr>
              <w:lastRenderedPageBreak/>
              <w:t>Opening Schedule</w:t>
            </w:r>
          </w:p>
        </w:tc>
        <w:tc>
          <w:tcPr>
            <w:tcW w:w="1643" w:type="dxa"/>
            <w:tcBorders>
              <w:bottom w:val="single" w:sz="4" w:space="0" w:color="auto"/>
            </w:tcBorders>
            <w:vAlign w:val="center"/>
          </w:tcPr>
          <w:p w14:paraId="1E6A26E4" w14:textId="77777777" w:rsidR="009F3BBA" w:rsidRPr="00F71E4C" w:rsidRDefault="009F3BBA" w:rsidP="00DA7044">
            <w:pPr>
              <w:pStyle w:val="Indent1"/>
              <w:jc w:val="center"/>
              <w:rPr>
                <w:b/>
              </w:rPr>
            </w:pPr>
            <w:r w:rsidRPr="00F71E4C">
              <w:rPr>
                <w:b/>
              </w:rPr>
              <w:t>Quota Management Area</w:t>
            </w:r>
          </w:p>
        </w:tc>
        <w:tc>
          <w:tcPr>
            <w:tcW w:w="2016" w:type="dxa"/>
            <w:tcBorders>
              <w:bottom w:val="single" w:sz="4" w:space="0" w:color="auto"/>
            </w:tcBorders>
            <w:vAlign w:val="center"/>
          </w:tcPr>
          <w:p w14:paraId="6962B1FF" w14:textId="77777777" w:rsidR="009F3BBA" w:rsidRPr="00F71E4C" w:rsidRDefault="009F3BBA" w:rsidP="00DA7044">
            <w:pPr>
              <w:pStyle w:val="Indent1"/>
              <w:jc w:val="center"/>
              <w:rPr>
                <w:b/>
              </w:rPr>
            </w:pPr>
            <w:r w:rsidRPr="00F71E4C">
              <w:rPr>
                <w:b/>
              </w:rPr>
              <w:t>Name</w:t>
            </w:r>
          </w:p>
        </w:tc>
        <w:tc>
          <w:tcPr>
            <w:tcW w:w="2213" w:type="dxa"/>
            <w:tcBorders>
              <w:bottom w:val="single" w:sz="4" w:space="0" w:color="auto"/>
            </w:tcBorders>
            <w:vAlign w:val="center"/>
          </w:tcPr>
          <w:p w14:paraId="0A53742F" w14:textId="77777777" w:rsidR="009F3BBA" w:rsidRPr="00F71E4C" w:rsidRDefault="009F3BBA" w:rsidP="00DA7044">
            <w:pPr>
              <w:pStyle w:val="Indent1"/>
              <w:jc w:val="center"/>
              <w:rPr>
                <w:b/>
              </w:rPr>
            </w:pPr>
            <w:r w:rsidRPr="00F71E4C">
              <w:rPr>
                <w:b/>
              </w:rPr>
              <w:t>Description</w:t>
            </w:r>
          </w:p>
          <w:p w14:paraId="3E9CDBCF" w14:textId="77777777" w:rsidR="009F3BBA" w:rsidRPr="00F71E4C" w:rsidRDefault="009F3BBA" w:rsidP="00DA7044">
            <w:pPr>
              <w:pStyle w:val="Indent1"/>
              <w:jc w:val="center"/>
              <w:rPr>
                <w:b/>
              </w:rPr>
            </w:pPr>
            <w:r w:rsidRPr="00F71E4C">
              <w:rPr>
                <w:b/>
              </w:rPr>
              <w:t>(by Subarea)</w:t>
            </w:r>
          </w:p>
        </w:tc>
        <w:tc>
          <w:tcPr>
            <w:tcW w:w="992" w:type="dxa"/>
            <w:tcBorders>
              <w:bottom w:val="single" w:sz="4" w:space="0" w:color="auto"/>
            </w:tcBorders>
            <w:vAlign w:val="center"/>
          </w:tcPr>
          <w:p w14:paraId="22A95889" w14:textId="77777777" w:rsidR="009F3BBA" w:rsidRPr="00F71E4C" w:rsidRDefault="009F3BBA" w:rsidP="00DA7044">
            <w:pPr>
              <w:pStyle w:val="Indent1"/>
              <w:jc w:val="center"/>
              <w:rPr>
                <w:b/>
              </w:rPr>
            </w:pPr>
            <w:r w:rsidRPr="00F71E4C">
              <w:rPr>
                <w:b/>
              </w:rPr>
              <w:t>Quota</w:t>
            </w:r>
          </w:p>
          <w:p w14:paraId="55B64C6C" w14:textId="77777777" w:rsidR="009F3BBA" w:rsidRPr="00F71E4C" w:rsidRDefault="009F3BBA" w:rsidP="00DA7044">
            <w:pPr>
              <w:pStyle w:val="Indent1"/>
              <w:jc w:val="center"/>
              <w:rPr>
                <w:b/>
              </w:rPr>
            </w:pPr>
            <w:r w:rsidRPr="00F71E4C">
              <w:rPr>
                <w:b/>
              </w:rPr>
              <w:t>(t)</w:t>
            </w:r>
            <w:r w:rsidR="00A25276" w:rsidRPr="00F71E4C">
              <w:rPr>
                <w:b/>
              </w:rPr>
              <w:t>*</w:t>
            </w:r>
          </w:p>
        </w:tc>
        <w:tc>
          <w:tcPr>
            <w:tcW w:w="1388" w:type="dxa"/>
            <w:tcBorders>
              <w:bottom w:val="single" w:sz="4" w:space="0" w:color="auto"/>
            </w:tcBorders>
            <w:vAlign w:val="center"/>
          </w:tcPr>
          <w:p w14:paraId="4D9E9E1B" w14:textId="77777777" w:rsidR="009F3BBA" w:rsidRPr="00F71E4C" w:rsidRDefault="009F3BBA" w:rsidP="00DA7044">
            <w:pPr>
              <w:pStyle w:val="Indent1"/>
              <w:jc w:val="center"/>
              <w:rPr>
                <w:b/>
              </w:rPr>
            </w:pPr>
            <w:r w:rsidRPr="00F71E4C">
              <w:rPr>
                <w:b/>
              </w:rPr>
              <w:t>Quota</w:t>
            </w:r>
          </w:p>
          <w:p w14:paraId="5924479A" w14:textId="77777777" w:rsidR="009F3BBA" w:rsidRPr="00F71E4C" w:rsidRDefault="009F3BBA" w:rsidP="00DA7044">
            <w:pPr>
              <w:pStyle w:val="Indent1"/>
              <w:jc w:val="center"/>
              <w:rPr>
                <w:b/>
              </w:rPr>
            </w:pPr>
            <w:r w:rsidRPr="00F71E4C">
              <w:rPr>
                <w:b/>
              </w:rPr>
              <w:t>(lb.)</w:t>
            </w:r>
            <w:r w:rsidR="00A25276" w:rsidRPr="00F71E4C">
              <w:rPr>
                <w:b/>
              </w:rPr>
              <w:t>*</w:t>
            </w:r>
          </w:p>
        </w:tc>
      </w:tr>
      <w:tr w:rsidR="004A0F3E" w:rsidRPr="00F71E4C" w14:paraId="5EB57AE4" w14:textId="77777777" w:rsidTr="00F53FDF">
        <w:tc>
          <w:tcPr>
            <w:tcW w:w="9576" w:type="dxa"/>
            <w:gridSpan w:val="6"/>
            <w:shd w:val="pct20" w:color="auto" w:fill="auto"/>
            <w:vAlign w:val="center"/>
          </w:tcPr>
          <w:p w14:paraId="0B2D2A1E" w14:textId="4E3EB5E5" w:rsidR="004A0F3E" w:rsidRPr="00F71E4C" w:rsidRDefault="004A0F3E" w:rsidP="00DA7044">
            <w:pPr>
              <w:pStyle w:val="Indent1"/>
              <w:jc w:val="left"/>
              <w:rPr>
                <w:b/>
              </w:rPr>
            </w:pPr>
            <w:r w:rsidRPr="00F71E4C">
              <w:rPr>
                <w:b/>
              </w:rPr>
              <w:t xml:space="preserve">North Coast </w:t>
            </w:r>
            <w:r w:rsidR="00AE0818">
              <w:rPr>
                <w:b/>
              </w:rPr>
              <w:t xml:space="preserve">Licence Area </w:t>
            </w:r>
            <w:r w:rsidR="00AE0818" w:rsidRPr="00196F62">
              <w:rPr>
                <w:b/>
              </w:rPr>
              <w:t>(3</w:t>
            </w:r>
            <w:r w:rsidR="00196F62" w:rsidRPr="00196F62">
              <w:rPr>
                <w:b/>
              </w:rPr>
              <w:t>2</w:t>
            </w:r>
            <w:r w:rsidR="007D28CE" w:rsidRPr="00196F62">
              <w:rPr>
                <w:b/>
              </w:rPr>
              <w:t xml:space="preserve"> </w:t>
            </w:r>
            <w:proofErr w:type="spellStart"/>
            <w:r w:rsidR="007D28CE" w:rsidRPr="00196F62">
              <w:rPr>
                <w:b/>
              </w:rPr>
              <w:t>licences</w:t>
            </w:r>
            <w:proofErr w:type="spellEnd"/>
            <w:r w:rsidR="007D28CE" w:rsidRPr="00F71E4C">
              <w:rPr>
                <w:b/>
              </w:rPr>
              <w:t>)</w:t>
            </w:r>
          </w:p>
        </w:tc>
      </w:tr>
      <w:tr w:rsidR="00F53FDF" w:rsidRPr="00F71E4C" w14:paraId="0C9FD13F" w14:textId="77777777" w:rsidTr="00F53FDF">
        <w:trPr>
          <w:trHeight w:val="548"/>
        </w:trPr>
        <w:tc>
          <w:tcPr>
            <w:tcW w:w="1324" w:type="dxa"/>
          </w:tcPr>
          <w:p w14:paraId="73386D4B" w14:textId="6A3E6188" w:rsidR="00F53FDF" w:rsidRPr="00F71E4C" w:rsidRDefault="00EE2864" w:rsidP="00F53FDF">
            <w:pPr>
              <w:pStyle w:val="Indent1"/>
              <w:jc w:val="left"/>
            </w:pPr>
            <w:r>
              <w:t>TBA</w:t>
            </w:r>
          </w:p>
        </w:tc>
        <w:tc>
          <w:tcPr>
            <w:tcW w:w="1643" w:type="dxa"/>
          </w:tcPr>
          <w:p w14:paraId="56C5C8BC" w14:textId="793B7E22" w:rsidR="00F53FDF" w:rsidRPr="00F71E4C" w:rsidRDefault="00196F62" w:rsidP="00F53FDF">
            <w:pPr>
              <w:pStyle w:val="Indent1"/>
              <w:jc w:val="left"/>
            </w:pPr>
            <w:r>
              <w:t>5E</w:t>
            </w:r>
          </w:p>
        </w:tc>
        <w:tc>
          <w:tcPr>
            <w:tcW w:w="2016" w:type="dxa"/>
            <w:vAlign w:val="center"/>
          </w:tcPr>
          <w:p w14:paraId="7CB2C31D" w14:textId="5B5E3BE6" w:rsidR="00F53FDF" w:rsidRPr="00F71E4C" w:rsidRDefault="00196F62" w:rsidP="00384778">
            <w:pPr>
              <w:pStyle w:val="Indent1"/>
              <w:jc w:val="left"/>
            </w:pPr>
            <w:r>
              <w:t>Anger Island</w:t>
            </w:r>
          </w:p>
        </w:tc>
        <w:tc>
          <w:tcPr>
            <w:tcW w:w="2213" w:type="dxa"/>
            <w:vAlign w:val="center"/>
          </w:tcPr>
          <w:p w14:paraId="70F4222C" w14:textId="1E6C8887" w:rsidR="00F53FDF" w:rsidRPr="00F71E4C" w:rsidRDefault="003608F0" w:rsidP="00F53FDF">
            <w:pPr>
              <w:pStyle w:val="Indent1"/>
            </w:pPr>
            <w:r>
              <w:rPr>
                <w:color w:val="000000"/>
                <w:szCs w:val="24"/>
              </w:rPr>
              <w:t>5-16</w:t>
            </w:r>
          </w:p>
        </w:tc>
        <w:tc>
          <w:tcPr>
            <w:tcW w:w="992" w:type="dxa"/>
            <w:vAlign w:val="center"/>
          </w:tcPr>
          <w:p w14:paraId="60CFEEE3" w14:textId="2B7CC570" w:rsidR="00F53FDF" w:rsidRPr="00F71E4C" w:rsidRDefault="00141AE2" w:rsidP="00F53FDF">
            <w:pPr>
              <w:pStyle w:val="Indent1"/>
              <w:jc w:val="center"/>
            </w:pPr>
            <w:r>
              <w:t>45.3</w:t>
            </w:r>
          </w:p>
        </w:tc>
        <w:tc>
          <w:tcPr>
            <w:tcW w:w="1388" w:type="dxa"/>
            <w:vAlign w:val="center"/>
          </w:tcPr>
          <w:p w14:paraId="240C72E0" w14:textId="67B038B6" w:rsidR="00F53FDF" w:rsidRPr="00F71E4C" w:rsidRDefault="00384778" w:rsidP="00F53FDF">
            <w:pPr>
              <w:pStyle w:val="Indent1"/>
              <w:jc w:val="center"/>
            </w:pPr>
            <w:r>
              <w:t>99,814</w:t>
            </w:r>
          </w:p>
        </w:tc>
      </w:tr>
      <w:tr w:rsidR="00F53FDF" w:rsidRPr="00F71E4C" w14:paraId="1619D6FF" w14:textId="77777777" w:rsidTr="00F53FDF">
        <w:trPr>
          <w:trHeight w:val="548"/>
        </w:trPr>
        <w:tc>
          <w:tcPr>
            <w:tcW w:w="1324" w:type="dxa"/>
          </w:tcPr>
          <w:p w14:paraId="6A2B1781" w14:textId="4DC48583" w:rsidR="00F53FDF" w:rsidRPr="00F71E4C" w:rsidDel="00ED364D" w:rsidRDefault="00EE2864" w:rsidP="00F53FDF">
            <w:pPr>
              <w:pStyle w:val="Indent1"/>
            </w:pPr>
            <w:r>
              <w:t>TBA</w:t>
            </w:r>
          </w:p>
        </w:tc>
        <w:tc>
          <w:tcPr>
            <w:tcW w:w="1643" w:type="dxa"/>
          </w:tcPr>
          <w:p w14:paraId="1231A3DB" w14:textId="3C069627" w:rsidR="00F53FDF" w:rsidRPr="00F71E4C" w:rsidRDefault="00384778" w:rsidP="00F53FDF">
            <w:pPr>
              <w:pStyle w:val="Indent1"/>
              <w:jc w:val="left"/>
            </w:pPr>
            <w:r>
              <w:t>5F</w:t>
            </w:r>
          </w:p>
        </w:tc>
        <w:tc>
          <w:tcPr>
            <w:tcW w:w="2016" w:type="dxa"/>
            <w:vAlign w:val="center"/>
          </w:tcPr>
          <w:p w14:paraId="1567C2EE" w14:textId="6A6CE82D" w:rsidR="00F53FDF" w:rsidRPr="00F71E4C" w:rsidRDefault="00384778" w:rsidP="00384778">
            <w:pPr>
              <w:pStyle w:val="Indent1"/>
              <w:jc w:val="left"/>
            </w:pPr>
            <w:r>
              <w:t>Principe North</w:t>
            </w:r>
          </w:p>
        </w:tc>
        <w:tc>
          <w:tcPr>
            <w:tcW w:w="2213" w:type="dxa"/>
            <w:vAlign w:val="center"/>
          </w:tcPr>
          <w:p w14:paraId="48ADEB0B" w14:textId="0C6F1F47" w:rsidR="00F53FDF" w:rsidRPr="00F71E4C" w:rsidDel="00ED364D" w:rsidRDefault="003608F0" w:rsidP="00F53FDF">
            <w:pPr>
              <w:pStyle w:val="Indent1"/>
            </w:pPr>
            <w:r>
              <w:rPr>
                <w:color w:val="000000"/>
                <w:szCs w:val="24"/>
              </w:rPr>
              <w:t>5-13 to 5-15</w:t>
            </w:r>
          </w:p>
        </w:tc>
        <w:tc>
          <w:tcPr>
            <w:tcW w:w="992" w:type="dxa"/>
            <w:vAlign w:val="center"/>
          </w:tcPr>
          <w:p w14:paraId="531EE2E1" w14:textId="5C42A8D0" w:rsidR="00F53FDF" w:rsidRPr="009519FC" w:rsidDel="00ED364D" w:rsidRDefault="00141AE2" w:rsidP="00F53FDF">
            <w:pPr>
              <w:pStyle w:val="Indent1"/>
              <w:jc w:val="center"/>
            </w:pPr>
            <w:r>
              <w:t>36.4</w:t>
            </w:r>
          </w:p>
        </w:tc>
        <w:tc>
          <w:tcPr>
            <w:tcW w:w="1388" w:type="dxa"/>
            <w:vAlign w:val="center"/>
          </w:tcPr>
          <w:p w14:paraId="62F2C26E" w14:textId="057E04F0" w:rsidR="00F53FDF" w:rsidRPr="00F71E4C" w:rsidDel="00ED364D" w:rsidRDefault="00384778" w:rsidP="00F53FDF">
            <w:pPr>
              <w:pStyle w:val="Indent1"/>
              <w:jc w:val="center"/>
            </w:pPr>
            <w:r>
              <w:t>80,193</w:t>
            </w:r>
          </w:p>
        </w:tc>
      </w:tr>
      <w:tr w:rsidR="00F53FDF" w:rsidRPr="00F71E4C" w14:paraId="09302C36" w14:textId="77777777" w:rsidTr="00F53FDF">
        <w:trPr>
          <w:trHeight w:val="548"/>
        </w:trPr>
        <w:tc>
          <w:tcPr>
            <w:tcW w:w="1324" w:type="dxa"/>
          </w:tcPr>
          <w:p w14:paraId="7859B0BA" w14:textId="7BE54B98" w:rsidR="00F53FDF" w:rsidRPr="00F71E4C" w:rsidDel="00ED364D" w:rsidRDefault="00EE2864" w:rsidP="00F53FDF">
            <w:pPr>
              <w:pStyle w:val="Indent1"/>
            </w:pPr>
            <w:r>
              <w:t>TBA</w:t>
            </w:r>
          </w:p>
        </w:tc>
        <w:tc>
          <w:tcPr>
            <w:tcW w:w="1643" w:type="dxa"/>
          </w:tcPr>
          <w:p w14:paraId="23DDC356" w14:textId="0AF7E5CB" w:rsidR="00F53FDF" w:rsidRPr="00F71E4C" w:rsidRDefault="00384778" w:rsidP="00F53FDF">
            <w:pPr>
              <w:pStyle w:val="Indent1"/>
              <w:jc w:val="left"/>
            </w:pPr>
            <w:r>
              <w:t>5G</w:t>
            </w:r>
          </w:p>
        </w:tc>
        <w:tc>
          <w:tcPr>
            <w:tcW w:w="2016" w:type="dxa"/>
            <w:vAlign w:val="center"/>
          </w:tcPr>
          <w:p w14:paraId="0D9B8626" w14:textId="5BB5DEC3" w:rsidR="00F53FDF" w:rsidRPr="00F71E4C" w:rsidRDefault="00384778" w:rsidP="00384778">
            <w:pPr>
              <w:pStyle w:val="Indent1"/>
              <w:jc w:val="left"/>
            </w:pPr>
            <w:r>
              <w:t>Principe South</w:t>
            </w:r>
          </w:p>
        </w:tc>
        <w:tc>
          <w:tcPr>
            <w:tcW w:w="2213" w:type="dxa"/>
            <w:vAlign w:val="center"/>
          </w:tcPr>
          <w:p w14:paraId="2276135C" w14:textId="70E5A513" w:rsidR="00F53FDF" w:rsidRPr="00F71E4C" w:rsidDel="00ED364D" w:rsidRDefault="003608F0" w:rsidP="00F53FDF">
            <w:pPr>
              <w:pStyle w:val="Indent1"/>
            </w:pPr>
            <w:r>
              <w:rPr>
                <w:color w:val="000000"/>
                <w:szCs w:val="24"/>
              </w:rPr>
              <w:t>5-17 to 5-19</w:t>
            </w:r>
          </w:p>
        </w:tc>
        <w:tc>
          <w:tcPr>
            <w:tcW w:w="992" w:type="dxa"/>
            <w:vAlign w:val="center"/>
          </w:tcPr>
          <w:p w14:paraId="26D162B3" w14:textId="30D60EE9" w:rsidR="00F53FDF" w:rsidRPr="009519FC" w:rsidDel="00ED364D" w:rsidRDefault="00141AE2" w:rsidP="00F53FDF">
            <w:pPr>
              <w:pStyle w:val="Indent1"/>
              <w:jc w:val="center"/>
            </w:pPr>
            <w:r>
              <w:t>39.6</w:t>
            </w:r>
          </w:p>
        </w:tc>
        <w:tc>
          <w:tcPr>
            <w:tcW w:w="1388" w:type="dxa"/>
            <w:vAlign w:val="center"/>
          </w:tcPr>
          <w:p w14:paraId="49C4424C" w14:textId="3CF520A0" w:rsidR="00F53FDF" w:rsidRPr="00F71E4C" w:rsidRDefault="00384778" w:rsidP="00F53FDF">
            <w:pPr>
              <w:pStyle w:val="Indent1"/>
              <w:jc w:val="center"/>
            </w:pPr>
            <w:r>
              <w:t>87,400</w:t>
            </w:r>
          </w:p>
        </w:tc>
      </w:tr>
      <w:tr w:rsidR="005E3CAB" w:rsidRPr="00F71E4C" w14:paraId="2551E460" w14:textId="77777777" w:rsidTr="00F53FDF">
        <w:trPr>
          <w:trHeight w:val="548"/>
        </w:trPr>
        <w:tc>
          <w:tcPr>
            <w:tcW w:w="1324" w:type="dxa"/>
          </w:tcPr>
          <w:p w14:paraId="181CDBDA" w14:textId="6688320E" w:rsidR="005E3CAB" w:rsidRPr="00F71E4C" w:rsidRDefault="005E3CAB" w:rsidP="005E3CAB">
            <w:pPr>
              <w:pStyle w:val="Indent1"/>
            </w:pPr>
            <w:r>
              <w:t>TBA</w:t>
            </w:r>
          </w:p>
        </w:tc>
        <w:tc>
          <w:tcPr>
            <w:tcW w:w="1643" w:type="dxa"/>
          </w:tcPr>
          <w:p w14:paraId="262AF192" w14:textId="25C0C7F9" w:rsidR="005E3CAB" w:rsidRPr="00F71E4C" w:rsidRDefault="00384778" w:rsidP="005E3CAB">
            <w:pPr>
              <w:pStyle w:val="Indent1"/>
              <w:jc w:val="left"/>
            </w:pPr>
            <w:r>
              <w:t>6A</w:t>
            </w:r>
          </w:p>
        </w:tc>
        <w:tc>
          <w:tcPr>
            <w:tcW w:w="2016" w:type="dxa"/>
            <w:vAlign w:val="center"/>
          </w:tcPr>
          <w:p w14:paraId="58822A6E" w14:textId="535F44C4" w:rsidR="005E3CAB" w:rsidRPr="00F71E4C" w:rsidRDefault="00384778" w:rsidP="00384778">
            <w:pPr>
              <w:pStyle w:val="Indent1"/>
              <w:jc w:val="left"/>
            </w:pPr>
            <w:r>
              <w:t>Gil Island</w:t>
            </w:r>
          </w:p>
        </w:tc>
        <w:tc>
          <w:tcPr>
            <w:tcW w:w="2213" w:type="dxa"/>
          </w:tcPr>
          <w:p w14:paraId="14A2A73D" w14:textId="0E171075" w:rsidR="005E3CAB" w:rsidRPr="00F71E4C" w:rsidRDefault="003608F0" w:rsidP="005E3CAB">
            <w:pPr>
              <w:pStyle w:val="Indent1"/>
            </w:pPr>
            <w:r w:rsidRPr="00C030FF">
              <w:rPr>
                <w:color w:val="000000"/>
                <w:szCs w:val="24"/>
              </w:rPr>
              <w:t>6-5, 6-26, 6-27</w:t>
            </w:r>
          </w:p>
        </w:tc>
        <w:tc>
          <w:tcPr>
            <w:tcW w:w="992" w:type="dxa"/>
            <w:vAlign w:val="center"/>
          </w:tcPr>
          <w:p w14:paraId="3EF68A81" w14:textId="1E517BF1" w:rsidR="005E3CAB" w:rsidRPr="009519FC" w:rsidRDefault="00141AE2" w:rsidP="005E3CAB">
            <w:pPr>
              <w:pStyle w:val="Indent1"/>
              <w:jc w:val="center"/>
            </w:pPr>
            <w:r w:rsidRPr="00141AE2">
              <w:t>60.0</w:t>
            </w:r>
          </w:p>
        </w:tc>
        <w:tc>
          <w:tcPr>
            <w:tcW w:w="1388" w:type="dxa"/>
            <w:vAlign w:val="center"/>
          </w:tcPr>
          <w:p w14:paraId="132C4B4F" w14:textId="27672344" w:rsidR="005E3CAB" w:rsidRPr="00F71E4C" w:rsidRDefault="00384778" w:rsidP="005E3CAB">
            <w:pPr>
              <w:pStyle w:val="Indent1"/>
              <w:jc w:val="center"/>
            </w:pPr>
            <w:r>
              <w:t>132,273</w:t>
            </w:r>
          </w:p>
        </w:tc>
      </w:tr>
      <w:tr w:rsidR="005E3CAB" w:rsidRPr="00F71E4C" w14:paraId="6174C42F" w14:textId="77777777" w:rsidTr="00F53FDF">
        <w:trPr>
          <w:trHeight w:val="548"/>
        </w:trPr>
        <w:tc>
          <w:tcPr>
            <w:tcW w:w="1324" w:type="dxa"/>
          </w:tcPr>
          <w:p w14:paraId="51B30613" w14:textId="0431D9D5" w:rsidR="005E3CAB" w:rsidRPr="00F71E4C" w:rsidRDefault="005E3CAB" w:rsidP="005E3CAB">
            <w:pPr>
              <w:pStyle w:val="Indent1"/>
            </w:pPr>
            <w:r>
              <w:t>TBA</w:t>
            </w:r>
          </w:p>
        </w:tc>
        <w:tc>
          <w:tcPr>
            <w:tcW w:w="1643" w:type="dxa"/>
          </w:tcPr>
          <w:p w14:paraId="5BFCE084" w14:textId="0B0DF0E1" w:rsidR="005E3CAB" w:rsidRPr="00F71E4C" w:rsidRDefault="00384778" w:rsidP="005E3CAB">
            <w:pPr>
              <w:pStyle w:val="Indent1"/>
              <w:jc w:val="left"/>
            </w:pPr>
            <w:r>
              <w:t>6C</w:t>
            </w:r>
          </w:p>
        </w:tc>
        <w:tc>
          <w:tcPr>
            <w:tcW w:w="2016" w:type="dxa"/>
            <w:vAlign w:val="center"/>
          </w:tcPr>
          <w:p w14:paraId="0F3E0B16" w14:textId="2DBEFC4A" w:rsidR="005E3CAB" w:rsidRPr="00F71E4C" w:rsidRDefault="00384778" w:rsidP="00384778">
            <w:pPr>
              <w:pStyle w:val="Indent1"/>
              <w:jc w:val="left"/>
            </w:pPr>
            <w:proofErr w:type="spellStart"/>
            <w:r>
              <w:t>Trutch</w:t>
            </w:r>
            <w:proofErr w:type="spellEnd"/>
            <w:r>
              <w:t xml:space="preserve"> Island</w:t>
            </w:r>
          </w:p>
        </w:tc>
        <w:tc>
          <w:tcPr>
            <w:tcW w:w="2213" w:type="dxa"/>
          </w:tcPr>
          <w:p w14:paraId="5A3C0A61" w14:textId="53945DAB" w:rsidR="005E3CAB" w:rsidRPr="00F71E4C" w:rsidRDefault="003608F0" w:rsidP="005E3CAB">
            <w:pPr>
              <w:pStyle w:val="Indent1"/>
            </w:pPr>
            <w:r>
              <w:rPr>
                <w:color w:val="000000"/>
                <w:szCs w:val="24"/>
              </w:rPr>
              <w:t>6-9,</w:t>
            </w:r>
            <w:r w:rsidRPr="00C030FF">
              <w:rPr>
                <w:color w:val="000000"/>
                <w:szCs w:val="24"/>
              </w:rPr>
              <w:t xml:space="preserve"> 6-10</w:t>
            </w:r>
          </w:p>
        </w:tc>
        <w:tc>
          <w:tcPr>
            <w:tcW w:w="992" w:type="dxa"/>
            <w:vAlign w:val="center"/>
          </w:tcPr>
          <w:p w14:paraId="4C671EB4" w14:textId="3C8FB0D1" w:rsidR="005E3CAB" w:rsidRPr="009519FC" w:rsidRDefault="00141AE2" w:rsidP="005E3CAB">
            <w:pPr>
              <w:pStyle w:val="Indent1"/>
              <w:jc w:val="center"/>
            </w:pPr>
            <w:r>
              <w:t>42.5</w:t>
            </w:r>
          </w:p>
        </w:tc>
        <w:tc>
          <w:tcPr>
            <w:tcW w:w="1388" w:type="dxa"/>
            <w:vAlign w:val="center"/>
          </w:tcPr>
          <w:p w14:paraId="2B11B5B6" w14:textId="54867CD7" w:rsidR="005E3CAB" w:rsidRPr="00384778" w:rsidRDefault="00384778" w:rsidP="005E3CAB">
            <w:pPr>
              <w:pStyle w:val="Indent1"/>
              <w:jc w:val="center"/>
              <w:rPr>
                <w:bCs/>
              </w:rPr>
            </w:pPr>
            <w:r w:rsidRPr="00384778">
              <w:rPr>
                <w:bCs/>
              </w:rPr>
              <w:t>93,732</w:t>
            </w:r>
          </w:p>
        </w:tc>
      </w:tr>
      <w:tr w:rsidR="005E3CAB" w:rsidRPr="00F71E4C" w14:paraId="361B49C8" w14:textId="77777777" w:rsidTr="00F53FDF">
        <w:trPr>
          <w:trHeight w:val="548"/>
        </w:trPr>
        <w:tc>
          <w:tcPr>
            <w:tcW w:w="1324" w:type="dxa"/>
          </w:tcPr>
          <w:p w14:paraId="1FB1A3D8" w14:textId="60A9047B" w:rsidR="005E3CAB" w:rsidRPr="00F71E4C" w:rsidRDefault="005E3CAB" w:rsidP="005E3CAB">
            <w:pPr>
              <w:pStyle w:val="Indent1"/>
            </w:pPr>
            <w:r>
              <w:t>TBA</w:t>
            </w:r>
          </w:p>
        </w:tc>
        <w:tc>
          <w:tcPr>
            <w:tcW w:w="1643" w:type="dxa"/>
          </w:tcPr>
          <w:p w14:paraId="7CE74BF0" w14:textId="56116065" w:rsidR="005E3CAB" w:rsidRDefault="00384778" w:rsidP="005E3CAB">
            <w:pPr>
              <w:pStyle w:val="Indent1"/>
            </w:pPr>
            <w:r>
              <w:t>6E</w:t>
            </w:r>
          </w:p>
        </w:tc>
        <w:tc>
          <w:tcPr>
            <w:tcW w:w="2016" w:type="dxa"/>
            <w:vAlign w:val="center"/>
          </w:tcPr>
          <w:p w14:paraId="5059386A" w14:textId="2F8CC69C" w:rsidR="005E3CAB" w:rsidRPr="00F71E4C" w:rsidRDefault="00384778" w:rsidP="00384778">
            <w:pPr>
              <w:pStyle w:val="Indent1"/>
              <w:jc w:val="left"/>
            </w:pPr>
            <w:r>
              <w:t>Princess Royal Channel</w:t>
            </w:r>
          </w:p>
        </w:tc>
        <w:tc>
          <w:tcPr>
            <w:tcW w:w="2213" w:type="dxa"/>
          </w:tcPr>
          <w:p w14:paraId="09D608A9" w14:textId="5E7C8F4E" w:rsidR="005E3CAB" w:rsidRPr="00F71E4C" w:rsidRDefault="00924C75" w:rsidP="005E3CAB">
            <w:pPr>
              <w:pStyle w:val="Indent1"/>
            </w:pPr>
            <w:proofErr w:type="spellStart"/>
            <w:r>
              <w:rPr>
                <w:color w:val="000000"/>
                <w:szCs w:val="24"/>
              </w:rPr>
              <w:t>Ptn</w:t>
            </w:r>
            <w:proofErr w:type="spellEnd"/>
            <w:r>
              <w:rPr>
                <w:color w:val="000000"/>
                <w:szCs w:val="24"/>
              </w:rPr>
              <w:t xml:space="preserve"> of 6-20; 6-21, 6-22, 6-24</w:t>
            </w:r>
          </w:p>
        </w:tc>
        <w:tc>
          <w:tcPr>
            <w:tcW w:w="992" w:type="dxa"/>
            <w:vAlign w:val="center"/>
          </w:tcPr>
          <w:p w14:paraId="7317002D" w14:textId="7683CEEB" w:rsidR="005E3CAB" w:rsidRPr="009519FC" w:rsidRDefault="00141AE2" w:rsidP="005E3CAB">
            <w:pPr>
              <w:pStyle w:val="Indent1"/>
              <w:jc w:val="center"/>
            </w:pPr>
            <w:r>
              <w:t>4.1</w:t>
            </w:r>
          </w:p>
        </w:tc>
        <w:tc>
          <w:tcPr>
            <w:tcW w:w="1388" w:type="dxa"/>
            <w:vAlign w:val="center"/>
          </w:tcPr>
          <w:p w14:paraId="546EB4CF" w14:textId="65B7751D" w:rsidR="005E3CAB" w:rsidRPr="00F71E4C" w:rsidRDefault="00384778" w:rsidP="005E3CAB">
            <w:pPr>
              <w:pStyle w:val="Indent1"/>
              <w:jc w:val="center"/>
            </w:pPr>
            <w:r>
              <w:t>8,989</w:t>
            </w:r>
          </w:p>
        </w:tc>
      </w:tr>
      <w:tr w:rsidR="005E3CAB" w:rsidRPr="00F71E4C" w14:paraId="37491A1C" w14:textId="77777777" w:rsidTr="00F53FDF">
        <w:trPr>
          <w:trHeight w:val="548"/>
        </w:trPr>
        <w:tc>
          <w:tcPr>
            <w:tcW w:w="1324" w:type="dxa"/>
          </w:tcPr>
          <w:p w14:paraId="2B1E8923" w14:textId="7A52BAFB" w:rsidR="005E3CAB" w:rsidRPr="00F71E4C" w:rsidRDefault="005E3CAB" w:rsidP="005E3CAB">
            <w:pPr>
              <w:pStyle w:val="Indent1"/>
            </w:pPr>
            <w:r>
              <w:t>TBA</w:t>
            </w:r>
          </w:p>
        </w:tc>
        <w:tc>
          <w:tcPr>
            <w:tcW w:w="1643" w:type="dxa"/>
          </w:tcPr>
          <w:p w14:paraId="4D7FCB6C" w14:textId="1BD84602" w:rsidR="005E3CAB" w:rsidRDefault="00384778" w:rsidP="005E3CAB">
            <w:pPr>
              <w:pStyle w:val="Indent1"/>
            </w:pPr>
            <w:r>
              <w:t>6J</w:t>
            </w:r>
          </w:p>
        </w:tc>
        <w:tc>
          <w:tcPr>
            <w:tcW w:w="2016" w:type="dxa"/>
            <w:vAlign w:val="center"/>
          </w:tcPr>
          <w:p w14:paraId="3AABC18E" w14:textId="203C81FC" w:rsidR="005E3CAB" w:rsidRPr="00F71E4C" w:rsidRDefault="00384778" w:rsidP="00384778">
            <w:pPr>
              <w:pStyle w:val="Indent1"/>
              <w:jc w:val="left"/>
            </w:pPr>
            <w:r>
              <w:t>Surf Inlet</w:t>
            </w:r>
          </w:p>
        </w:tc>
        <w:tc>
          <w:tcPr>
            <w:tcW w:w="2213" w:type="dxa"/>
          </w:tcPr>
          <w:p w14:paraId="6A2D3DD3" w14:textId="023C0E53" w:rsidR="005E3CAB" w:rsidRPr="00F71E4C" w:rsidRDefault="00924C75" w:rsidP="005E3CAB">
            <w:pPr>
              <w:pStyle w:val="Indent1"/>
            </w:pPr>
            <w:r>
              <w:rPr>
                <w:color w:val="000000"/>
                <w:szCs w:val="24"/>
              </w:rPr>
              <w:t>6-12</w:t>
            </w:r>
          </w:p>
        </w:tc>
        <w:tc>
          <w:tcPr>
            <w:tcW w:w="992" w:type="dxa"/>
            <w:vAlign w:val="center"/>
          </w:tcPr>
          <w:p w14:paraId="64A9AE4D" w14:textId="5A50AEC9" w:rsidR="005E3CAB" w:rsidRPr="00F71E4C" w:rsidRDefault="00141AE2" w:rsidP="005E3CAB">
            <w:pPr>
              <w:pStyle w:val="Indent1"/>
              <w:jc w:val="center"/>
            </w:pPr>
            <w:r w:rsidRPr="00141AE2">
              <w:t>4.3</w:t>
            </w:r>
          </w:p>
        </w:tc>
        <w:tc>
          <w:tcPr>
            <w:tcW w:w="1388" w:type="dxa"/>
            <w:vAlign w:val="center"/>
          </w:tcPr>
          <w:p w14:paraId="5C90BA54" w14:textId="06597E38" w:rsidR="005E3CAB" w:rsidRPr="00F71E4C" w:rsidRDefault="00384778" w:rsidP="005E3CAB">
            <w:pPr>
              <w:pStyle w:val="Indent1"/>
              <w:jc w:val="center"/>
            </w:pPr>
            <w:r>
              <w:t>9,599</w:t>
            </w:r>
          </w:p>
        </w:tc>
      </w:tr>
      <w:tr w:rsidR="005E3CAB" w:rsidRPr="00F71E4C" w14:paraId="571F7C06" w14:textId="77777777" w:rsidTr="00F53FDF">
        <w:tc>
          <w:tcPr>
            <w:tcW w:w="7196" w:type="dxa"/>
            <w:gridSpan w:val="4"/>
            <w:tcBorders>
              <w:bottom w:val="single" w:sz="4" w:space="0" w:color="auto"/>
            </w:tcBorders>
          </w:tcPr>
          <w:p w14:paraId="57971A56" w14:textId="77777777" w:rsidR="005E3CAB" w:rsidRPr="00F71E4C" w:rsidRDefault="005E3CAB" w:rsidP="005E3CAB">
            <w:pPr>
              <w:pStyle w:val="Indent1"/>
              <w:jc w:val="left"/>
              <w:rPr>
                <w:b/>
              </w:rPr>
            </w:pPr>
            <w:r w:rsidRPr="00F71E4C">
              <w:rPr>
                <w:b/>
              </w:rPr>
              <w:t>North Coast Total</w:t>
            </w:r>
          </w:p>
        </w:tc>
        <w:tc>
          <w:tcPr>
            <w:tcW w:w="992" w:type="dxa"/>
            <w:tcBorders>
              <w:bottom w:val="single" w:sz="4" w:space="0" w:color="auto"/>
            </w:tcBorders>
            <w:vAlign w:val="center"/>
          </w:tcPr>
          <w:p w14:paraId="5ADA3839" w14:textId="18DC319E" w:rsidR="005E3CAB" w:rsidRPr="0007584F" w:rsidRDefault="00141AE2" w:rsidP="005E3CAB">
            <w:pPr>
              <w:pStyle w:val="Indent1"/>
              <w:jc w:val="center"/>
              <w:rPr>
                <w:b/>
              </w:rPr>
            </w:pPr>
            <w:r>
              <w:rPr>
                <w:b/>
              </w:rPr>
              <w:t>232.2</w:t>
            </w:r>
          </w:p>
        </w:tc>
        <w:tc>
          <w:tcPr>
            <w:tcW w:w="1388" w:type="dxa"/>
            <w:tcBorders>
              <w:bottom w:val="single" w:sz="4" w:space="0" w:color="auto"/>
            </w:tcBorders>
            <w:vAlign w:val="center"/>
          </w:tcPr>
          <w:p w14:paraId="00ABBA87" w14:textId="7EA519C2" w:rsidR="005E3CAB" w:rsidRPr="000F4F8E" w:rsidRDefault="00384778" w:rsidP="005E3CAB">
            <w:pPr>
              <w:pStyle w:val="Indent1"/>
              <w:jc w:val="center"/>
              <w:rPr>
                <w:b/>
                <w:highlight w:val="yellow"/>
              </w:rPr>
            </w:pPr>
            <w:r w:rsidRPr="00384778">
              <w:rPr>
                <w:b/>
              </w:rPr>
              <w:t>512,000</w:t>
            </w:r>
          </w:p>
        </w:tc>
      </w:tr>
      <w:tr w:rsidR="005E3CAB" w:rsidRPr="00F71E4C" w14:paraId="232CE053" w14:textId="77777777" w:rsidTr="00F53FDF">
        <w:tc>
          <w:tcPr>
            <w:tcW w:w="9576" w:type="dxa"/>
            <w:gridSpan w:val="6"/>
            <w:shd w:val="pct20" w:color="auto" w:fill="auto"/>
            <w:vAlign w:val="center"/>
          </w:tcPr>
          <w:p w14:paraId="6DE5C7BF" w14:textId="575C4AF6" w:rsidR="005E3CAB" w:rsidRPr="00F71E4C" w:rsidRDefault="005E3CAB" w:rsidP="005E3CAB">
            <w:pPr>
              <w:pStyle w:val="Indent1"/>
              <w:jc w:val="left"/>
              <w:rPr>
                <w:b/>
              </w:rPr>
            </w:pPr>
            <w:r w:rsidRPr="00F71E4C">
              <w:rPr>
                <w:b/>
              </w:rPr>
              <w:t xml:space="preserve">Central Coast Licence </w:t>
            </w:r>
            <w:r w:rsidRPr="00EE2864">
              <w:rPr>
                <w:b/>
              </w:rPr>
              <w:t>Area (</w:t>
            </w:r>
            <w:r w:rsidR="00384778">
              <w:rPr>
                <w:b/>
              </w:rPr>
              <w:t>29</w:t>
            </w:r>
            <w:r w:rsidRPr="00EE2864">
              <w:rPr>
                <w:b/>
              </w:rPr>
              <w:t xml:space="preserve"> </w:t>
            </w:r>
            <w:proofErr w:type="spellStart"/>
            <w:r w:rsidRPr="00EE2864">
              <w:rPr>
                <w:b/>
              </w:rPr>
              <w:t>licences</w:t>
            </w:r>
            <w:proofErr w:type="spellEnd"/>
            <w:r w:rsidRPr="00EE2864">
              <w:rPr>
                <w:b/>
              </w:rPr>
              <w:t>)</w:t>
            </w:r>
          </w:p>
        </w:tc>
      </w:tr>
      <w:tr w:rsidR="005E3CAB" w:rsidRPr="00F71E4C" w14:paraId="5E49FAA3" w14:textId="77777777" w:rsidTr="00F53FDF">
        <w:tc>
          <w:tcPr>
            <w:tcW w:w="1324" w:type="dxa"/>
          </w:tcPr>
          <w:p w14:paraId="0BA6A666" w14:textId="6901E612" w:rsidR="005E3CAB" w:rsidRPr="00F71E4C" w:rsidDel="00ED364D" w:rsidRDefault="005E3CAB" w:rsidP="005E3CAB">
            <w:pPr>
              <w:pStyle w:val="Indent1"/>
            </w:pPr>
            <w:r>
              <w:t>TBA</w:t>
            </w:r>
          </w:p>
        </w:tc>
        <w:tc>
          <w:tcPr>
            <w:tcW w:w="1643" w:type="dxa"/>
          </w:tcPr>
          <w:p w14:paraId="134A4D28" w14:textId="34505771" w:rsidR="005E3CAB" w:rsidRPr="00F71E4C" w:rsidRDefault="00384778" w:rsidP="005E3CAB">
            <w:pPr>
              <w:pStyle w:val="Indent1"/>
              <w:jc w:val="left"/>
            </w:pPr>
            <w:r>
              <w:t>7H</w:t>
            </w:r>
          </w:p>
        </w:tc>
        <w:tc>
          <w:tcPr>
            <w:tcW w:w="2016" w:type="dxa"/>
            <w:vAlign w:val="center"/>
          </w:tcPr>
          <w:p w14:paraId="247EB08E" w14:textId="10AC1FBC" w:rsidR="005E3CAB" w:rsidRPr="00F71E4C" w:rsidRDefault="00384778" w:rsidP="00384778">
            <w:pPr>
              <w:pStyle w:val="Indent1"/>
              <w:jc w:val="left"/>
            </w:pPr>
            <w:r>
              <w:t>Upper Mathieson</w:t>
            </w:r>
          </w:p>
        </w:tc>
        <w:tc>
          <w:tcPr>
            <w:tcW w:w="2213" w:type="dxa"/>
          </w:tcPr>
          <w:p w14:paraId="2B47F3D4" w14:textId="7D8F6C95" w:rsidR="005E3CAB" w:rsidRPr="00F71E4C" w:rsidRDefault="00924C75" w:rsidP="005E3CAB">
            <w:pPr>
              <w:pStyle w:val="Indent1"/>
            </w:pPr>
            <w:proofErr w:type="spellStart"/>
            <w:r>
              <w:rPr>
                <w:color w:val="000000"/>
                <w:szCs w:val="24"/>
              </w:rPr>
              <w:t>Ptn</w:t>
            </w:r>
            <w:proofErr w:type="spellEnd"/>
            <w:r>
              <w:rPr>
                <w:color w:val="000000"/>
                <w:szCs w:val="24"/>
              </w:rPr>
              <w:t>. 7-9, 7-10</w:t>
            </w:r>
          </w:p>
        </w:tc>
        <w:tc>
          <w:tcPr>
            <w:tcW w:w="992" w:type="dxa"/>
            <w:vAlign w:val="center"/>
          </w:tcPr>
          <w:p w14:paraId="0261E75B" w14:textId="0061D32D" w:rsidR="005E3CAB" w:rsidRPr="00F71E4C" w:rsidDel="00ED364D" w:rsidRDefault="00141AE2" w:rsidP="005E3CAB">
            <w:pPr>
              <w:pStyle w:val="Indent1"/>
              <w:jc w:val="center"/>
            </w:pPr>
            <w:r>
              <w:t>5.6</w:t>
            </w:r>
          </w:p>
        </w:tc>
        <w:tc>
          <w:tcPr>
            <w:tcW w:w="1388" w:type="dxa"/>
            <w:vAlign w:val="center"/>
          </w:tcPr>
          <w:p w14:paraId="00F551A6" w14:textId="2534B0B9" w:rsidR="005E3CAB" w:rsidRPr="00F71E4C" w:rsidRDefault="00384778" w:rsidP="005E3CAB">
            <w:pPr>
              <w:pStyle w:val="Indent1"/>
              <w:jc w:val="center"/>
            </w:pPr>
            <w:r>
              <w:t>12,370</w:t>
            </w:r>
          </w:p>
        </w:tc>
      </w:tr>
      <w:tr w:rsidR="005E3CAB" w:rsidRPr="00F71E4C" w14:paraId="7CBA8C4B" w14:textId="77777777" w:rsidTr="00F53FDF">
        <w:tc>
          <w:tcPr>
            <w:tcW w:w="1324" w:type="dxa"/>
          </w:tcPr>
          <w:p w14:paraId="57212BEE" w14:textId="48872BDE" w:rsidR="005E3CAB" w:rsidRPr="00F71E4C" w:rsidRDefault="005E3CAB" w:rsidP="005E3CAB">
            <w:pPr>
              <w:pStyle w:val="Indent1"/>
            </w:pPr>
            <w:r>
              <w:t>TBA</w:t>
            </w:r>
          </w:p>
        </w:tc>
        <w:tc>
          <w:tcPr>
            <w:tcW w:w="1643" w:type="dxa"/>
          </w:tcPr>
          <w:p w14:paraId="2E9F25B3" w14:textId="6748DEEE" w:rsidR="005E3CAB" w:rsidRPr="00F71E4C" w:rsidRDefault="00384778" w:rsidP="005E3CAB">
            <w:pPr>
              <w:pStyle w:val="Indent1"/>
              <w:jc w:val="left"/>
            </w:pPr>
            <w:r>
              <w:t>7I</w:t>
            </w:r>
          </w:p>
        </w:tc>
        <w:tc>
          <w:tcPr>
            <w:tcW w:w="2016" w:type="dxa"/>
            <w:vAlign w:val="center"/>
          </w:tcPr>
          <w:p w14:paraId="2A760E82" w14:textId="4A36F853" w:rsidR="005E3CAB" w:rsidRPr="00F71E4C" w:rsidRDefault="00384778" w:rsidP="00384778">
            <w:pPr>
              <w:pStyle w:val="Indent1"/>
              <w:jc w:val="left"/>
            </w:pPr>
            <w:r>
              <w:t>Lower Mathieson</w:t>
            </w:r>
          </w:p>
        </w:tc>
        <w:tc>
          <w:tcPr>
            <w:tcW w:w="2213" w:type="dxa"/>
          </w:tcPr>
          <w:p w14:paraId="0E1759D6" w14:textId="118CC21F" w:rsidR="005E3CAB" w:rsidRPr="00F71E4C" w:rsidRDefault="00924C75" w:rsidP="005E3CAB">
            <w:pPr>
              <w:pStyle w:val="Indent1"/>
            </w:pPr>
            <w:proofErr w:type="spellStart"/>
            <w:r>
              <w:rPr>
                <w:color w:val="000000"/>
                <w:szCs w:val="24"/>
              </w:rPr>
              <w:t>Ptn</w:t>
            </w:r>
            <w:proofErr w:type="spellEnd"/>
            <w:r>
              <w:rPr>
                <w:color w:val="000000"/>
                <w:szCs w:val="24"/>
              </w:rPr>
              <w:t>. 7-9</w:t>
            </w:r>
          </w:p>
        </w:tc>
        <w:tc>
          <w:tcPr>
            <w:tcW w:w="992" w:type="dxa"/>
            <w:vAlign w:val="center"/>
          </w:tcPr>
          <w:p w14:paraId="30DE1A98" w14:textId="23867618" w:rsidR="005E3CAB" w:rsidRPr="00F71E4C" w:rsidRDefault="00141AE2" w:rsidP="005E3CAB">
            <w:pPr>
              <w:pStyle w:val="Indent1"/>
              <w:jc w:val="center"/>
            </w:pPr>
            <w:r>
              <w:t>8.3</w:t>
            </w:r>
          </w:p>
        </w:tc>
        <w:tc>
          <w:tcPr>
            <w:tcW w:w="1388" w:type="dxa"/>
            <w:vAlign w:val="center"/>
          </w:tcPr>
          <w:p w14:paraId="53AF075E" w14:textId="48DC155B" w:rsidR="005E3CAB" w:rsidRPr="00384778" w:rsidRDefault="00384778" w:rsidP="005E3CAB">
            <w:pPr>
              <w:pStyle w:val="Indent1"/>
              <w:jc w:val="center"/>
              <w:rPr>
                <w:bCs/>
              </w:rPr>
            </w:pPr>
            <w:r w:rsidRPr="00384778">
              <w:rPr>
                <w:bCs/>
              </w:rPr>
              <w:t>18,364</w:t>
            </w:r>
          </w:p>
        </w:tc>
      </w:tr>
      <w:tr w:rsidR="005E3CAB" w:rsidRPr="00F71E4C" w14:paraId="65271226" w14:textId="77777777" w:rsidTr="00F53FDF">
        <w:tc>
          <w:tcPr>
            <w:tcW w:w="1324" w:type="dxa"/>
          </w:tcPr>
          <w:p w14:paraId="047C5678" w14:textId="37760E0A" w:rsidR="005E3CAB" w:rsidRDefault="005E3CAB" w:rsidP="005E3CAB">
            <w:pPr>
              <w:pStyle w:val="Indent1"/>
            </w:pPr>
            <w:r>
              <w:t>TBA</w:t>
            </w:r>
          </w:p>
        </w:tc>
        <w:tc>
          <w:tcPr>
            <w:tcW w:w="1643" w:type="dxa"/>
          </w:tcPr>
          <w:p w14:paraId="310DF17E" w14:textId="3FF3962A" w:rsidR="005E3CAB" w:rsidRDefault="00384778" w:rsidP="005E3CAB">
            <w:pPr>
              <w:pStyle w:val="Indent1"/>
            </w:pPr>
            <w:r>
              <w:t>7L</w:t>
            </w:r>
          </w:p>
        </w:tc>
        <w:tc>
          <w:tcPr>
            <w:tcW w:w="2016" w:type="dxa"/>
            <w:vAlign w:val="center"/>
          </w:tcPr>
          <w:p w14:paraId="7EF63594" w14:textId="15375A77" w:rsidR="005E3CAB" w:rsidRDefault="00384778" w:rsidP="00384778">
            <w:pPr>
              <w:pStyle w:val="Indent1"/>
              <w:jc w:val="left"/>
            </w:pPr>
            <w:r>
              <w:t>Roscoe Inlet</w:t>
            </w:r>
          </w:p>
        </w:tc>
        <w:tc>
          <w:tcPr>
            <w:tcW w:w="2213" w:type="dxa"/>
          </w:tcPr>
          <w:p w14:paraId="4672618E" w14:textId="1AFF697F" w:rsidR="005E3CAB" w:rsidRDefault="00924C75" w:rsidP="005E3CAB">
            <w:pPr>
              <w:pStyle w:val="Indent1"/>
            </w:pPr>
            <w:proofErr w:type="spellStart"/>
            <w:r w:rsidRPr="001E2A86">
              <w:rPr>
                <w:color w:val="000000"/>
                <w:szCs w:val="24"/>
              </w:rPr>
              <w:t>Ptn</w:t>
            </w:r>
            <w:proofErr w:type="spellEnd"/>
            <w:r w:rsidRPr="001E2A86">
              <w:rPr>
                <w:color w:val="000000"/>
                <w:szCs w:val="24"/>
              </w:rPr>
              <w:t xml:space="preserve"> 7-15; 7-16</w:t>
            </w:r>
          </w:p>
        </w:tc>
        <w:tc>
          <w:tcPr>
            <w:tcW w:w="992" w:type="dxa"/>
            <w:vAlign w:val="center"/>
          </w:tcPr>
          <w:p w14:paraId="2D1568EB" w14:textId="53B4494E" w:rsidR="005E3CAB" w:rsidRDefault="00141AE2" w:rsidP="005E3CAB">
            <w:pPr>
              <w:pStyle w:val="Indent1"/>
              <w:jc w:val="center"/>
            </w:pPr>
            <w:r>
              <w:t>21.6</w:t>
            </w:r>
          </w:p>
        </w:tc>
        <w:tc>
          <w:tcPr>
            <w:tcW w:w="1388" w:type="dxa"/>
            <w:vAlign w:val="center"/>
          </w:tcPr>
          <w:p w14:paraId="2966BB2A" w14:textId="5A407AC3" w:rsidR="005E3CAB" w:rsidRPr="00384778" w:rsidRDefault="00384778" w:rsidP="005E3CAB">
            <w:pPr>
              <w:pStyle w:val="Indent1"/>
              <w:jc w:val="center"/>
              <w:rPr>
                <w:bCs/>
              </w:rPr>
            </w:pPr>
            <w:r w:rsidRPr="00384778">
              <w:rPr>
                <w:bCs/>
              </w:rPr>
              <w:t>47,630</w:t>
            </w:r>
          </w:p>
        </w:tc>
      </w:tr>
      <w:tr w:rsidR="00924C75" w:rsidRPr="00F71E4C" w14:paraId="1CBCA9D6" w14:textId="77777777" w:rsidTr="00F53FDF">
        <w:tc>
          <w:tcPr>
            <w:tcW w:w="1324" w:type="dxa"/>
          </w:tcPr>
          <w:p w14:paraId="20AB05F1" w14:textId="55F9B043" w:rsidR="00924C75" w:rsidRDefault="00924C75" w:rsidP="00924C75">
            <w:pPr>
              <w:pStyle w:val="Indent1"/>
            </w:pPr>
            <w:r>
              <w:t>TBA</w:t>
            </w:r>
          </w:p>
        </w:tc>
        <w:tc>
          <w:tcPr>
            <w:tcW w:w="1643" w:type="dxa"/>
          </w:tcPr>
          <w:p w14:paraId="5C0FC371" w14:textId="35C46DC3" w:rsidR="00924C75" w:rsidRPr="00384778" w:rsidRDefault="00924C75" w:rsidP="00924C75">
            <w:pPr>
              <w:pStyle w:val="Indent1"/>
              <w:rPr>
                <w:bCs/>
              </w:rPr>
            </w:pPr>
            <w:r w:rsidRPr="00384778">
              <w:rPr>
                <w:bCs/>
              </w:rPr>
              <w:t>7O</w:t>
            </w:r>
          </w:p>
        </w:tc>
        <w:tc>
          <w:tcPr>
            <w:tcW w:w="2016" w:type="dxa"/>
            <w:vAlign w:val="center"/>
          </w:tcPr>
          <w:p w14:paraId="63C9BE89" w14:textId="1B16678C" w:rsidR="00924C75" w:rsidRPr="00384778" w:rsidRDefault="00924C75" w:rsidP="00924C75">
            <w:pPr>
              <w:pStyle w:val="Indent1"/>
              <w:jc w:val="left"/>
              <w:rPr>
                <w:bCs/>
              </w:rPr>
            </w:pPr>
            <w:r w:rsidRPr="00384778">
              <w:rPr>
                <w:bCs/>
              </w:rPr>
              <w:t>Finlayson South</w:t>
            </w:r>
          </w:p>
        </w:tc>
        <w:tc>
          <w:tcPr>
            <w:tcW w:w="2213" w:type="dxa"/>
          </w:tcPr>
          <w:p w14:paraId="4D9F6A9B" w14:textId="51573425" w:rsidR="00924C75" w:rsidRPr="00384778" w:rsidRDefault="00924C75" w:rsidP="00924C75">
            <w:pPr>
              <w:pStyle w:val="Indent1"/>
              <w:rPr>
                <w:bCs/>
              </w:rPr>
            </w:pPr>
            <w:r>
              <w:rPr>
                <w:color w:val="000000"/>
                <w:szCs w:val="24"/>
              </w:rPr>
              <w:t>7-4</w:t>
            </w:r>
          </w:p>
        </w:tc>
        <w:tc>
          <w:tcPr>
            <w:tcW w:w="992" w:type="dxa"/>
            <w:vAlign w:val="center"/>
          </w:tcPr>
          <w:p w14:paraId="77C9982B" w14:textId="5F2F969C" w:rsidR="00924C75" w:rsidRPr="00384778" w:rsidRDefault="00141AE2" w:rsidP="00924C75">
            <w:pPr>
              <w:pStyle w:val="Indent1"/>
              <w:jc w:val="center"/>
              <w:rPr>
                <w:bCs/>
              </w:rPr>
            </w:pPr>
            <w:r>
              <w:rPr>
                <w:bCs/>
              </w:rPr>
              <w:t>3.9</w:t>
            </w:r>
          </w:p>
        </w:tc>
        <w:tc>
          <w:tcPr>
            <w:tcW w:w="1388" w:type="dxa"/>
            <w:vAlign w:val="center"/>
          </w:tcPr>
          <w:p w14:paraId="0BDF9DFD" w14:textId="55FBDE44" w:rsidR="00924C75" w:rsidRPr="00384778" w:rsidRDefault="00924C75" w:rsidP="00924C75">
            <w:pPr>
              <w:pStyle w:val="Indent1"/>
              <w:jc w:val="center"/>
              <w:rPr>
                <w:bCs/>
              </w:rPr>
            </w:pPr>
            <w:r w:rsidRPr="00384778">
              <w:rPr>
                <w:bCs/>
              </w:rPr>
              <w:t>8,603</w:t>
            </w:r>
          </w:p>
        </w:tc>
      </w:tr>
      <w:tr w:rsidR="00924C75" w:rsidRPr="00F71E4C" w14:paraId="2841631F" w14:textId="77777777" w:rsidTr="00F53FDF">
        <w:tc>
          <w:tcPr>
            <w:tcW w:w="1324" w:type="dxa"/>
          </w:tcPr>
          <w:p w14:paraId="1BA50FB6" w14:textId="02752C47" w:rsidR="00924C75" w:rsidRPr="00F71E4C" w:rsidRDefault="00924C75" w:rsidP="00924C75">
            <w:pPr>
              <w:pStyle w:val="Indent1"/>
            </w:pPr>
            <w:r>
              <w:t>TBA</w:t>
            </w:r>
          </w:p>
        </w:tc>
        <w:tc>
          <w:tcPr>
            <w:tcW w:w="1643" w:type="dxa"/>
          </w:tcPr>
          <w:p w14:paraId="26587357" w14:textId="75393AF3" w:rsidR="00924C75" w:rsidRPr="00F71E4C" w:rsidRDefault="00924C75" w:rsidP="00924C75">
            <w:pPr>
              <w:pStyle w:val="Indent1"/>
              <w:jc w:val="left"/>
            </w:pPr>
            <w:r>
              <w:t>7P</w:t>
            </w:r>
          </w:p>
        </w:tc>
        <w:tc>
          <w:tcPr>
            <w:tcW w:w="2016" w:type="dxa"/>
            <w:vAlign w:val="center"/>
          </w:tcPr>
          <w:p w14:paraId="2A4D8941" w14:textId="282864E8" w:rsidR="00924C75" w:rsidRPr="00F71E4C" w:rsidRDefault="00924C75" w:rsidP="00924C75">
            <w:pPr>
              <w:pStyle w:val="Indent1"/>
              <w:jc w:val="left"/>
            </w:pPr>
            <w:proofErr w:type="spellStart"/>
            <w:r>
              <w:t>Milbanke</w:t>
            </w:r>
            <w:proofErr w:type="spellEnd"/>
            <w:r>
              <w:t xml:space="preserve"> Sound</w:t>
            </w:r>
          </w:p>
        </w:tc>
        <w:tc>
          <w:tcPr>
            <w:tcW w:w="2213" w:type="dxa"/>
          </w:tcPr>
          <w:p w14:paraId="7B974260" w14:textId="4073FBE3" w:rsidR="00924C75" w:rsidRPr="00F71E4C" w:rsidRDefault="00924C75" w:rsidP="00924C75">
            <w:pPr>
              <w:pStyle w:val="Indent1"/>
            </w:pPr>
            <w:proofErr w:type="spellStart"/>
            <w:r w:rsidRPr="005576B2">
              <w:rPr>
                <w:color w:val="000000"/>
                <w:szCs w:val="24"/>
              </w:rPr>
              <w:t>Ptn</w:t>
            </w:r>
            <w:proofErr w:type="spellEnd"/>
            <w:r w:rsidRPr="005576B2">
              <w:rPr>
                <w:color w:val="000000"/>
                <w:szCs w:val="24"/>
              </w:rPr>
              <w:t>. 7-2 and 7-3</w:t>
            </w:r>
          </w:p>
        </w:tc>
        <w:tc>
          <w:tcPr>
            <w:tcW w:w="992" w:type="dxa"/>
            <w:vAlign w:val="center"/>
          </w:tcPr>
          <w:p w14:paraId="74DA4CD1" w14:textId="2C444DBA" w:rsidR="00924C75" w:rsidRPr="00F71E4C" w:rsidRDefault="00141AE2" w:rsidP="00924C75">
            <w:pPr>
              <w:pStyle w:val="Indent1"/>
              <w:jc w:val="center"/>
            </w:pPr>
            <w:r>
              <w:t>3.6</w:t>
            </w:r>
          </w:p>
        </w:tc>
        <w:tc>
          <w:tcPr>
            <w:tcW w:w="1388" w:type="dxa"/>
            <w:vAlign w:val="center"/>
          </w:tcPr>
          <w:p w14:paraId="75C1D626" w14:textId="0614CB1F" w:rsidR="00924C75" w:rsidRPr="00F71E4C" w:rsidRDefault="00924C75" w:rsidP="00924C75">
            <w:pPr>
              <w:pStyle w:val="Indent1"/>
              <w:jc w:val="center"/>
            </w:pPr>
            <w:r>
              <w:t>8,000</w:t>
            </w:r>
          </w:p>
        </w:tc>
      </w:tr>
      <w:tr w:rsidR="00924C75" w:rsidRPr="00F71E4C" w14:paraId="60DA2DAF" w14:textId="77777777" w:rsidTr="00F53FDF">
        <w:tc>
          <w:tcPr>
            <w:tcW w:w="1324" w:type="dxa"/>
          </w:tcPr>
          <w:p w14:paraId="7C2CA69B" w14:textId="28400502" w:rsidR="00924C75" w:rsidRDefault="00924C75" w:rsidP="00924C75">
            <w:pPr>
              <w:pStyle w:val="Indent1"/>
            </w:pPr>
            <w:r>
              <w:t>TBA</w:t>
            </w:r>
          </w:p>
        </w:tc>
        <w:tc>
          <w:tcPr>
            <w:tcW w:w="1643" w:type="dxa"/>
          </w:tcPr>
          <w:p w14:paraId="58007D45" w14:textId="0A120E42" w:rsidR="00924C75" w:rsidRDefault="00924C75" w:rsidP="00924C75">
            <w:pPr>
              <w:pStyle w:val="Indent1"/>
            </w:pPr>
            <w:r>
              <w:t>7Q (NEW)</w:t>
            </w:r>
          </w:p>
        </w:tc>
        <w:tc>
          <w:tcPr>
            <w:tcW w:w="2016" w:type="dxa"/>
            <w:vAlign w:val="center"/>
          </w:tcPr>
          <w:p w14:paraId="25D2AEBD" w14:textId="3DBB2238" w:rsidR="00924C75" w:rsidRDefault="00924C75" w:rsidP="00924C75">
            <w:pPr>
              <w:pStyle w:val="Indent1"/>
              <w:jc w:val="left"/>
            </w:pPr>
            <w:r>
              <w:t>Seaforth Channel</w:t>
            </w:r>
          </w:p>
        </w:tc>
        <w:tc>
          <w:tcPr>
            <w:tcW w:w="2213" w:type="dxa"/>
          </w:tcPr>
          <w:p w14:paraId="1E864701" w14:textId="0BD54CD8" w:rsidR="00924C75" w:rsidRDefault="00924C75" w:rsidP="00924C75">
            <w:pPr>
              <w:pStyle w:val="Indent1"/>
            </w:pPr>
            <w:proofErr w:type="spellStart"/>
            <w:r w:rsidRPr="005576B2">
              <w:rPr>
                <w:color w:val="000000"/>
                <w:szCs w:val="24"/>
              </w:rPr>
              <w:t>Ptn</w:t>
            </w:r>
            <w:proofErr w:type="spellEnd"/>
            <w:r w:rsidRPr="005576B2">
              <w:rPr>
                <w:color w:val="000000"/>
                <w:szCs w:val="24"/>
              </w:rPr>
              <w:t>. 7-2 and 7-3; 7-12, 7-20 to 7-22, 7-24 and 7-32</w:t>
            </w:r>
          </w:p>
        </w:tc>
        <w:tc>
          <w:tcPr>
            <w:tcW w:w="992" w:type="dxa"/>
            <w:vAlign w:val="center"/>
          </w:tcPr>
          <w:p w14:paraId="205EA9A3" w14:textId="4B2CE330" w:rsidR="00924C75" w:rsidRPr="00F71E4C" w:rsidRDefault="00141AE2" w:rsidP="00924C75">
            <w:pPr>
              <w:pStyle w:val="Indent1"/>
              <w:jc w:val="center"/>
            </w:pPr>
            <w:r w:rsidRPr="00141AE2">
              <w:t>40.0</w:t>
            </w:r>
          </w:p>
        </w:tc>
        <w:tc>
          <w:tcPr>
            <w:tcW w:w="1388" w:type="dxa"/>
            <w:vAlign w:val="center"/>
          </w:tcPr>
          <w:p w14:paraId="6A9E9580" w14:textId="067E1777" w:rsidR="00924C75" w:rsidRDefault="00924C75" w:rsidP="00924C75">
            <w:pPr>
              <w:pStyle w:val="Indent1"/>
              <w:jc w:val="center"/>
            </w:pPr>
            <w:r>
              <w:t>88,153</w:t>
            </w:r>
          </w:p>
        </w:tc>
      </w:tr>
      <w:tr w:rsidR="00924C75" w:rsidRPr="00F71E4C" w14:paraId="0E6CF79A" w14:textId="77777777" w:rsidTr="00F53FDF">
        <w:tc>
          <w:tcPr>
            <w:tcW w:w="1324" w:type="dxa"/>
          </w:tcPr>
          <w:p w14:paraId="2C05B8B0" w14:textId="5F7A47DC" w:rsidR="00924C75" w:rsidRDefault="00924C75" w:rsidP="00924C75">
            <w:pPr>
              <w:pStyle w:val="Indent1"/>
            </w:pPr>
            <w:r>
              <w:t>TBA</w:t>
            </w:r>
          </w:p>
        </w:tc>
        <w:tc>
          <w:tcPr>
            <w:tcW w:w="1643" w:type="dxa"/>
          </w:tcPr>
          <w:p w14:paraId="728AF873" w14:textId="37560BEF" w:rsidR="00924C75" w:rsidRDefault="00924C75" w:rsidP="00924C75">
            <w:pPr>
              <w:pStyle w:val="Indent1"/>
            </w:pPr>
            <w:r>
              <w:t>7R (NEW)</w:t>
            </w:r>
          </w:p>
        </w:tc>
        <w:tc>
          <w:tcPr>
            <w:tcW w:w="2016" w:type="dxa"/>
            <w:vAlign w:val="center"/>
          </w:tcPr>
          <w:p w14:paraId="586A3CAD" w14:textId="775DF13E" w:rsidR="00924C75" w:rsidRDefault="00924C75" w:rsidP="00924C75">
            <w:pPr>
              <w:pStyle w:val="Indent1"/>
              <w:jc w:val="left"/>
            </w:pPr>
            <w:r>
              <w:t>Queens Sound North</w:t>
            </w:r>
          </w:p>
        </w:tc>
        <w:tc>
          <w:tcPr>
            <w:tcW w:w="2213" w:type="dxa"/>
          </w:tcPr>
          <w:p w14:paraId="7EA69E13" w14:textId="6E89499C" w:rsidR="00924C75" w:rsidRDefault="00111817" w:rsidP="00924C75">
            <w:pPr>
              <w:pStyle w:val="Indent1"/>
            </w:pPr>
            <w:proofErr w:type="spellStart"/>
            <w:r>
              <w:t>Ptn</w:t>
            </w:r>
            <w:proofErr w:type="spellEnd"/>
            <w:r>
              <w:t>. 7-18; 7-19, 7-23</w:t>
            </w:r>
          </w:p>
        </w:tc>
        <w:tc>
          <w:tcPr>
            <w:tcW w:w="992" w:type="dxa"/>
            <w:vAlign w:val="center"/>
          </w:tcPr>
          <w:p w14:paraId="590B27F3" w14:textId="4061D639" w:rsidR="00924C75" w:rsidRPr="00F71E4C" w:rsidRDefault="00141AE2" w:rsidP="00924C75">
            <w:pPr>
              <w:pStyle w:val="Indent1"/>
              <w:jc w:val="center"/>
            </w:pPr>
            <w:r>
              <w:t>22.7</w:t>
            </w:r>
          </w:p>
        </w:tc>
        <w:tc>
          <w:tcPr>
            <w:tcW w:w="1388" w:type="dxa"/>
            <w:vAlign w:val="center"/>
          </w:tcPr>
          <w:p w14:paraId="1C088898" w14:textId="3EFF7623" w:rsidR="00924C75" w:rsidRDefault="00924C75" w:rsidP="00924C75">
            <w:pPr>
              <w:pStyle w:val="Indent1"/>
              <w:jc w:val="center"/>
            </w:pPr>
            <w:r>
              <w:t>50,000</w:t>
            </w:r>
          </w:p>
        </w:tc>
      </w:tr>
      <w:tr w:rsidR="00924C75" w:rsidRPr="00F71E4C" w14:paraId="50844617" w14:textId="77777777" w:rsidTr="00F53FDF">
        <w:tc>
          <w:tcPr>
            <w:tcW w:w="1324" w:type="dxa"/>
          </w:tcPr>
          <w:p w14:paraId="06DF6B19" w14:textId="7123B4CF" w:rsidR="00924C75" w:rsidRDefault="00924C75" w:rsidP="00924C75">
            <w:pPr>
              <w:pStyle w:val="Indent1"/>
            </w:pPr>
            <w:r>
              <w:lastRenderedPageBreak/>
              <w:t>TBA</w:t>
            </w:r>
          </w:p>
        </w:tc>
        <w:tc>
          <w:tcPr>
            <w:tcW w:w="1643" w:type="dxa"/>
          </w:tcPr>
          <w:p w14:paraId="441C4C17" w14:textId="26A7D034" w:rsidR="00924C75" w:rsidRDefault="00924C75" w:rsidP="00924C75">
            <w:pPr>
              <w:pStyle w:val="Indent1"/>
            </w:pPr>
            <w:r>
              <w:t>7S (NEW)</w:t>
            </w:r>
          </w:p>
        </w:tc>
        <w:tc>
          <w:tcPr>
            <w:tcW w:w="2016" w:type="dxa"/>
            <w:vAlign w:val="center"/>
          </w:tcPr>
          <w:p w14:paraId="0C9FD611" w14:textId="26B5DFFA" w:rsidR="00924C75" w:rsidRDefault="00924C75" w:rsidP="00924C75">
            <w:pPr>
              <w:pStyle w:val="Indent1"/>
              <w:jc w:val="left"/>
            </w:pPr>
            <w:r>
              <w:t>Queens Sound South</w:t>
            </w:r>
          </w:p>
        </w:tc>
        <w:tc>
          <w:tcPr>
            <w:tcW w:w="2213" w:type="dxa"/>
          </w:tcPr>
          <w:p w14:paraId="6AE3F721" w14:textId="4387D239" w:rsidR="00924C75" w:rsidRDefault="00111817" w:rsidP="00924C75">
            <w:pPr>
              <w:pStyle w:val="Indent1"/>
            </w:pPr>
            <w:proofErr w:type="spellStart"/>
            <w:r>
              <w:t>Ptn</w:t>
            </w:r>
            <w:proofErr w:type="spellEnd"/>
            <w:r>
              <w:t>. 7-18; 7-25</w:t>
            </w:r>
          </w:p>
        </w:tc>
        <w:tc>
          <w:tcPr>
            <w:tcW w:w="992" w:type="dxa"/>
            <w:vAlign w:val="center"/>
          </w:tcPr>
          <w:p w14:paraId="468CAC97" w14:textId="0D79696F" w:rsidR="00924C75" w:rsidRPr="00F71E4C" w:rsidRDefault="00141AE2" w:rsidP="00924C75">
            <w:pPr>
              <w:pStyle w:val="Indent1"/>
              <w:jc w:val="center"/>
            </w:pPr>
            <w:r>
              <w:t>9.1</w:t>
            </w:r>
          </w:p>
        </w:tc>
        <w:tc>
          <w:tcPr>
            <w:tcW w:w="1388" w:type="dxa"/>
            <w:vAlign w:val="center"/>
          </w:tcPr>
          <w:p w14:paraId="1DC60396" w14:textId="46DA0689" w:rsidR="00924C75" w:rsidRDefault="00924C75" w:rsidP="00924C75">
            <w:pPr>
              <w:pStyle w:val="Indent1"/>
              <w:jc w:val="center"/>
            </w:pPr>
            <w:r>
              <w:t>20,000</w:t>
            </w:r>
          </w:p>
        </w:tc>
      </w:tr>
      <w:tr w:rsidR="00924C75" w:rsidRPr="00F71E4C" w14:paraId="049D0DEB" w14:textId="77777777" w:rsidTr="00F53FDF">
        <w:tc>
          <w:tcPr>
            <w:tcW w:w="1324" w:type="dxa"/>
          </w:tcPr>
          <w:p w14:paraId="28A12DD6" w14:textId="01DC6D01" w:rsidR="00924C75" w:rsidRDefault="00924C75" w:rsidP="00924C75">
            <w:pPr>
              <w:pStyle w:val="Indent1"/>
            </w:pPr>
            <w:r>
              <w:t>TBA</w:t>
            </w:r>
          </w:p>
        </w:tc>
        <w:tc>
          <w:tcPr>
            <w:tcW w:w="1643" w:type="dxa"/>
          </w:tcPr>
          <w:p w14:paraId="4A683898" w14:textId="5F5BB4EE" w:rsidR="00924C75" w:rsidRDefault="00924C75" w:rsidP="00924C75">
            <w:pPr>
              <w:pStyle w:val="Indent1"/>
            </w:pPr>
            <w:r>
              <w:t>8C</w:t>
            </w:r>
          </w:p>
        </w:tc>
        <w:tc>
          <w:tcPr>
            <w:tcW w:w="2016" w:type="dxa"/>
            <w:vAlign w:val="center"/>
          </w:tcPr>
          <w:p w14:paraId="1B4FEE7F" w14:textId="650D8B5D" w:rsidR="00924C75" w:rsidRDefault="00924C75" w:rsidP="00924C75">
            <w:pPr>
              <w:pStyle w:val="Indent1"/>
              <w:jc w:val="left"/>
            </w:pPr>
            <w:r>
              <w:t>Spider/</w:t>
            </w:r>
            <w:proofErr w:type="spellStart"/>
            <w:r>
              <w:t>Kildidt</w:t>
            </w:r>
            <w:proofErr w:type="spellEnd"/>
          </w:p>
        </w:tc>
        <w:tc>
          <w:tcPr>
            <w:tcW w:w="2213" w:type="dxa"/>
          </w:tcPr>
          <w:p w14:paraId="647D385B" w14:textId="10412E1C" w:rsidR="00924C75" w:rsidRDefault="00924C75" w:rsidP="00924C75">
            <w:pPr>
              <w:pStyle w:val="Indent1"/>
            </w:pPr>
            <w:r w:rsidRPr="00E1608C">
              <w:rPr>
                <w:color w:val="000000"/>
                <w:szCs w:val="24"/>
              </w:rPr>
              <w:t>7-26, 7-27, 7-28</w:t>
            </w:r>
          </w:p>
        </w:tc>
        <w:tc>
          <w:tcPr>
            <w:tcW w:w="992" w:type="dxa"/>
            <w:vAlign w:val="center"/>
          </w:tcPr>
          <w:p w14:paraId="32E7DA12" w14:textId="72A0C7F1" w:rsidR="00924C75" w:rsidRPr="00F71E4C" w:rsidRDefault="00141AE2" w:rsidP="00924C75">
            <w:pPr>
              <w:pStyle w:val="Indent1"/>
              <w:jc w:val="center"/>
            </w:pPr>
            <w:r>
              <w:t>24.4</w:t>
            </w:r>
          </w:p>
        </w:tc>
        <w:tc>
          <w:tcPr>
            <w:tcW w:w="1388" w:type="dxa"/>
            <w:vAlign w:val="center"/>
          </w:tcPr>
          <w:p w14:paraId="03A5A44F" w14:textId="7E753328" w:rsidR="00924C75" w:rsidRDefault="00924C75" w:rsidP="00924C75">
            <w:pPr>
              <w:pStyle w:val="Indent1"/>
              <w:jc w:val="center"/>
            </w:pPr>
            <w:r>
              <w:t>53,708</w:t>
            </w:r>
          </w:p>
        </w:tc>
      </w:tr>
      <w:tr w:rsidR="00924C75" w:rsidRPr="00F71E4C" w14:paraId="4DBF43FD" w14:textId="77777777" w:rsidTr="00F53FDF">
        <w:tc>
          <w:tcPr>
            <w:tcW w:w="1324" w:type="dxa"/>
          </w:tcPr>
          <w:p w14:paraId="11A68A51" w14:textId="004E5FF6" w:rsidR="00924C75" w:rsidRDefault="00924C75" w:rsidP="00924C75">
            <w:pPr>
              <w:pStyle w:val="Indent1"/>
            </w:pPr>
            <w:r>
              <w:t>TBA</w:t>
            </w:r>
          </w:p>
        </w:tc>
        <w:tc>
          <w:tcPr>
            <w:tcW w:w="1643" w:type="dxa"/>
          </w:tcPr>
          <w:p w14:paraId="3D14FC20" w14:textId="4026C0D5" w:rsidR="00924C75" w:rsidRDefault="00924C75" w:rsidP="00924C75">
            <w:pPr>
              <w:pStyle w:val="Indent1"/>
            </w:pPr>
            <w:r>
              <w:t>9B</w:t>
            </w:r>
          </w:p>
        </w:tc>
        <w:tc>
          <w:tcPr>
            <w:tcW w:w="2016" w:type="dxa"/>
            <w:vAlign w:val="center"/>
          </w:tcPr>
          <w:p w14:paraId="69192207" w14:textId="24721DB0" w:rsidR="00924C75" w:rsidRDefault="00924C75" w:rsidP="00924C75">
            <w:pPr>
              <w:pStyle w:val="Indent1"/>
              <w:jc w:val="left"/>
            </w:pPr>
            <w:r>
              <w:t>South Rivers Inlet</w:t>
            </w:r>
          </w:p>
        </w:tc>
        <w:tc>
          <w:tcPr>
            <w:tcW w:w="2213" w:type="dxa"/>
          </w:tcPr>
          <w:p w14:paraId="043B4E8C" w14:textId="3A863A74" w:rsidR="00924C75" w:rsidRDefault="00924C75" w:rsidP="00924C75">
            <w:pPr>
              <w:pStyle w:val="Indent1"/>
            </w:pPr>
            <w:r w:rsidRPr="001E2A86">
              <w:rPr>
                <w:color w:val="000000"/>
                <w:szCs w:val="24"/>
              </w:rPr>
              <w:t>9-2, 9-3, 9-10, 9-11</w:t>
            </w:r>
          </w:p>
        </w:tc>
        <w:tc>
          <w:tcPr>
            <w:tcW w:w="992" w:type="dxa"/>
            <w:vAlign w:val="center"/>
          </w:tcPr>
          <w:p w14:paraId="724108D4" w14:textId="0FFA6C70" w:rsidR="00924C75" w:rsidRPr="00F71E4C" w:rsidRDefault="00141AE2" w:rsidP="00924C75">
            <w:pPr>
              <w:pStyle w:val="Indent1"/>
              <w:jc w:val="center"/>
            </w:pPr>
            <w:r>
              <w:t>71.3</w:t>
            </w:r>
          </w:p>
        </w:tc>
        <w:tc>
          <w:tcPr>
            <w:tcW w:w="1388" w:type="dxa"/>
            <w:vAlign w:val="center"/>
          </w:tcPr>
          <w:p w14:paraId="43FCA128" w14:textId="2BCD2F8F" w:rsidR="00924C75" w:rsidRDefault="00924C75" w:rsidP="00924C75">
            <w:pPr>
              <w:pStyle w:val="Indent1"/>
              <w:jc w:val="center"/>
            </w:pPr>
            <w:r>
              <w:t>157,172</w:t>
            </w:r>
          </w:p>
        </w:tc>
      </w:tr>
      <w:tr w:rsidR="00924C75" w:rsidRPr="00F71E4C" w14:paraId="71D6CC72" w14:textId="77777777" w:rsidTr="00F53FDF">
        <w:tc>
          <w:tcPr>
            <w:tcW w:w="7196" w:type="dxa"/>
            <w:gridSpan w:val="4"/>
            <w:tcBorders>
              <w:bottom w:val="single" w:sz="4" w:space="0" w:color="auto"/>
            </w:tcBorders>
          </w:tcPr>
          <w:p w14:paraId="3F821339" w14:textId="77777777" w:rsidR="00924C75" w:rsidRPr="00F71E4C" w:rsidRDefault="00924C75" w:rsidP="00924C75">
            <w:pPr>
              <w:pStyle w:val="Indent1"/>
              <w:rPr>
                <w:b/>
              </w:rPr>
            </w:pPr>
            <w:r w:rsidRPr="00F71E4C">
              <w:rPr>
                <w:b/>
              </w:rPr>
              <w:t>Central Coast Total</w:t>
            </w:r>
          </w:p>
        </w:tc>
        <w:tc>
          <w:tcPr>
            <w:tcW w:w="992" w:type="dxa"/>
            <w:tcBorders>
              <w:bottom w:val="single" w:sz="4" w:space="0" w:color="auto"/>
            </w:tcBorders>
            <w:vAlign w:val="center"/>
          </w:tcPr>
          <w:p w14:paraId="7C284181" w14:textId="306E3D7B" w:rsidR="00924C75" w:rsidRPr="00EE2864" w:rsidRDefault="00141AE2" w:rsidP="00924C75">
            <w:pPr>
              <w:pStyle w:val="Indent1"/>
              <w:jc w:val="center"/>
              <w:rPr>
                <w:b/>
              </w:rPr>
            </w:pPr>
            <w:r>
              <w:rPr>
                <w:b/>
              </w:rPr>
              <w:t>210.5</w:t>
            </w:r>
          </w:p>
        </w:tc>
        <w:tc>
          <w:tcPr>
            <w:tcW w:w="1388" w:type="dxa"/>
            <w:tcBorders>
              <w:bottom w:val="single" w:sz="4" w:space="0" w:color="auto"/>
            </w:tcBorders>
            <w:vAlign w:val="center"/>
          </w:tcPr>
          <w:p w14:paraId="2F65DCDD" w14:textId="05D1606B" w:rsidR="00924C75" w:rsidRPr="00EE2864" w:rsidRDefault="00924C75" w:rsidP="00924C75">
            <w:pPr>
              <w:pStyle w:val="Indent1"/>
              <w:jc w:val="center"/>
              <w:rPr>
                <w:b/>
              </w:rPr>
            </w:pPr>
            <w:r>
              <w:rPr>
                <w:b/>
              </w:rPr>
              <w:t>464,000</w:t>
            </w:r>
          </w:p>
        </w:tc>
      </w:tr>
      <w:tr w:rsidR="00924C75" w:rsidRPr="00F71E4C" w14:paraId="12EE94B4" w14:textId="77777777" w:rsidTr="00F53FDF">
        <w:tc>
          <w:tcPr>
            <w:tcW w:w="9576" w:type="dxa"/>
            <w:gridSpan w:val="6"/>
            <w:shd w:val="pct20" w:color="auto" w:fill="auto"/>
            <w:vAlign w:val="center"/>
          </w:tcPr>
          <w:p w14:paraId="586E1A2A" w14:textId="50E52E12" w:rsidR="00924C75" w:rsidRPr="00F71E4C" w:rsidRDefault="00924C75" w:rsidP="00924C75">
            <w:pPr>
              <w:pStyle w:val="Indent1"/>
              <w:jc w:val="left"/>
              <w:rPr>
                <w:b/>
              </w:rPr>
            </w:pPr>
            <w:r w:rsidRPr="00F71E4C">
              <w:rPr>
                <w:b/>
              </w:rPr>
              <w:t>East Coast V</w:t>
            </w:r>
            <w:r>
              <w:rPr>
                <w:b/>
              </w:rPr>
              <w:t>ancouver Island Licence Area (18</w:t>
            </w:r>
            <w:r w:rsidRPr="00F71E4C">
              <w:rPr>
                <w:b/>
              </w:rPr>
              <w:t xml:space="preserve"> </w:t>
            </w:r>
            <w:proofErr w:type="spellStart"/>
            <w:r w:rsidRPr="00F71E4C">
              <w:rPr>
                <w:b/>
              </w:rPr>
              <w:t>licences</w:t>
            </w:r>
            <w:proofErr w:type="spellEnd"/>
            <w:r w:rsidRPr="00F71E4C">
              <w:rPr>
                <w:b/>
              </w:rPr>
              <w:t>)</w:t>
            </w:r>
          </w:p>
        </w:tc>
      </w:tr>
      <w:tr w:rsidR="00924C75" w:rsidRPr="00F71E4C" w14:paraId="4C49928A" w14:textId="77777777" w:rsidTr="00F53FDF">
        <w:tc>
          <w:tcPr>
            <w:tcW w:w="1324" w:type="dxa"/>
          </w:tcPr>
          <w:p w14:paraId="76BB6CDB" w14:textId="50822DB8" w:rsidR="00924C75" w:rsidRPr="00AB4F03" w:rsidDel="006C5AFD" w:rsidRDefault="00924C75" w:rsidP="00924C75">
            <w:pPr>
              <w:pStyle w:val="Indent1"/>
            </w:pPr>
            <w:r>
              <w:t>TBA</w:t>
            </w:r>
          </w:p>
        </w:tc>
        <w:tc>
          <w:tcPr>
            <w:tcW w:w="1643" w:type="dxa"/>
          </w:tcPr>
          <w:p w14:paraId="0F4C1316" w14:textId="20F5C061" w:rsidR="00924C75" w:rsidRPr="00AB4F03" w:rsidRDefault="00924C75" w:rsidP="00924C75">
            <w:pPr>
              <w:pStyle w:val="Indent1"/>
              <w:jc w:val="left"/>
            </w:pPr>
            <w:r>
              <w:t>12G</w:t>
            </w:r>
          </w:p>
        </w:tc>
        <w:tc>
          <w:tcPr>
            <w:tcW w:w="2016" w:type="dxa"/>
            <w:vAlign w:val="center"/>
          </w:tcPr>
          <w:p w14:paraId="7484F168" w14:textId="54DF193C" w:rsidR="00924C75" w:rsidRPr="00AB4F03" w:rsidRDefault="00924C75" w:rsidP="00924C75">
            <w:pPr>
              <w:pStyle w:val="Indent1"/>
              <w:jc w:val="left"/>
            </w:pPr>
            <w:r>
              <w:t>SW QC Strait</w:t>
            </w:r>
          </w:p>
        </w:tc>
        <w:tc>
          <w:tcPr>
            <w:tcW w:w="2213" w:type="dxa"/>
          </w:tcPr>
          <w:p w14:paraId="2B2E0863" w14:textId="0AD00254" w:rsidR="00924C75" w:rsidRPr="00AB4F03" w:rsidDel="006C5AFD" w:rsidRDefault="00924C75" w:rsidP="00924C75">
            <w:pPr>
              <w:pStyle w:val="Indent1"/>
              <w:jc w:val="left"/>
            </w:pPr>
            <w:r>
              <w:rPr>
                <w:szCs w:val="24"/>
              </w:rPr>
              <w:t>12-7, 12-8, 12-17</w:t>
            </w:r>
          </w:p>
        </w:tc>
        <w:tc>
          <w:tcPr>
            <w:tcW w:w="992" w:type="dxa"/>
            <w:vAlign w:val="center"/>
          </w:tcPr>
          <w:p w14:paraId="20047D22" w14:textId="55C3402E" w:rsidR="00924C75" w:rsidRPr="00AB4F03" w:rsidDel="006C5AFD" w:rsidRDefault="00653A35" w:rsidP="00924C75">
            <w:pPr>
              <w:pStyle w:val="Indent1"/>
              <w:jc w:val="center"/>
            </w:pPr>
            <w:r>
              <w:t>14.1</w:t>
            </w:r>
          </w:p>
        </w:tc>
        <w:tc>
          <w:tcPr>
            <w:tcW w:w="1388" w:type="dxa"/>
            <w:vAlign w:val="center"/>
          </w:tcPr>
          <w:p w14:paraId="6741398C" w14:textId="648EED06" w:rsidR="00924C75" w:rsidRPr="00AB4F03" w:rsidRDefault="00924C75" w:rsidP="00924C75">
            <w:pPr>
              <w:pStyle w:val="Indent1"/>
              <w:jc w:val="center"/>
            </w:pPr>
            <w:r>
              <w:t>31,067</w:t>
            </w:r>
          </w:p>
        </w:tc>
      </w:tr>
      <w:tr w:rsidR="00924C75" w:rsidRPr="00F71E4C" w14:paraId="7601C42A" w14:textId="77777777" w:rsidTr="00F53FDF">
        <w:tc>
          <w:tcPr>
            <w:tcW w:w="1324" w:type="dxa"/>
          </w:tcPr>
          <w:p w14:paraId="3B865225" w14:textId="670BDDDA" w:rsidR="00924C75" w:rsidRPr="00AB4F03" w:rsidDel="00167193" w:rsidRDefault="00924C75" w:rsidP="00924C75">
            <w:pPr>
              <w:pStyle w:val="Indent1"/>
            </w:pPr>
            <w:r>
              <w:t>TBA</w:t>
            </w:r>
          </w:p>
        </w:tc>
        <w:tc>
          <w:tcPr>
            <w:tcW w:w="1643" w:type="dxa"/>
          </w:tcPr>
          <w:p w14:paraId="2B0A1941" w14:textId="6A411F42" w:rsidR="00924C75" w:rsidRPr="00AB4F03" w:rsidRDefault="00924C75" w:rsidP="00924C75">
            <w:pPr>
              <w:pStyle w:val="Indent1"/>
              <w:jc w:val="left"/>
            </w:pPr>
            <w:r>
              <w:t>12H</w:t>
            </w:r>
          </w:p>
        </w:tc>
        <w:tc>
          <w:tcPr>
            <w:tcW w:w="2016" w:type="dxa"/>
            <w:vAlign w:val="center"/>
          </w:tcPr>
          <w:p w14:paraId="3D7794DA" w14:textId="3DFA9AEC" w:rsidR="00924C75" w:rsidRPr="00AB4F03" w:rsidRDefault="00924C75" w:rsidP="00924C75">
            <w:pPr>
              <w:pStyle w:val="Indent1"/>
              <w:jc w:val="left"/>
            </w:pPr>
            <w:proofErr w:type="spellStart"/>
            <w:r>
              <w:t>Turnour</w:t>
            </w:r>
            <w:proofErr w:type="spellEnd"/>
            <w:r>
              <w:t xml:space="preserve"> Island</w:t>
            </w:r>
          </w:p>
        </w:tc>
        <w:tc>
          <w:tcPr>
            <w:tcW w:w="2213" w:type="dxa"/>
          </w:tcPr>
          <w:p w14:paraId="2F96388D" w14:textId="3099B65C" w:rsidR="00924C75" w:rsidRPr="00AB4F03" w:rsidDel="00167193" w:rsidRDefault="00924C75" w:rsidP="00924C75">
            <w:pPr>
              <w:pStyle w:val="Indent1"/>
              <w:jc w:val="left"/>
            </w:pPr>
            <w:r>
              <w:rPr>
                <w:szCs w:val="24"/>
              </w:rPr>
              <w:t xml:space="preserve">12-20, </w:t>
            </w:r>
            <w:proofErr w:type="spellStart"/>
            <w:r>
              <w:rPr>
                <w:szCs w:val="24"/>
              </w:rPr>
              <w:t>ptn</w:t>
            </w:r>
            <w:proofErr w:type="spellEnd"/>
            <w:r>
              <w:rPr>
                <w:szCs w:val="24"/>
              </w:rPr>
              <w:t xml:space="preserve"> 12-26</w:t>
            </w:r>
          </w:p>
        </w:tc>
        <w:tc>
          <w:tcPr>
            <w:tcW w:w="992" w:type="dxa"/>
            <w:vAlign w:val="center"/>
          </w:tcPr>
          <w:p w14:paraId="31044C65" w14:textId="7D90FA6A" w:rsidR="00924C75" w:rsidRPr="00AB4F03" w:rsidDel="00167193" w:rsidRDefault="00653A35" w:rsidP="00924C75">
            <w:pPr>
              <w:pStyle w:val="Indent1"/>
              <w:jc w:val="center"/>
            </w:pPr>
            <w:r>
              <w:t>40.1</w:t>
            </w:r>
          </w:p>
        </w:tc>
        <w:tc>
          <w:tcPr>
            <w:tcW w:w="1388" w:type="dxa"/>
            <w:vAlign w:val="center"/>
          </w:tcPr>
          <w:p w14:paraId="0CF389FF" w14:textId="2FBE34BF" w:rsidR="00924C75" w:rsidRPr="00AB4F03" w:rsidRDefault="00924C75" w:rsidP="00924C75">
            <w:pPr>
              <w:pStyle w:val="Indent1"/>
              <w:jc w:val="center"/>
            </w:pPr>
            <w:r>
              <w:t>88,439</w:t>
            </w:r>
          </w:p>
        </w:tc>
      </w:tr>
      <w:tr w:rsidR="00924C75" w:rsidRPr="00F71E4C" w14:paraId="4C3C303E" w14:textId="77777777" w:rsidTr="00F53FDF">
        <w:tc>
          <w:tcPr>
            <w:tcW w:w="1324" w:type="dxa"/>
          </w:tcPr>
          <w:p w14:paraId="43244230" w14:textId="157227CA" w:rsidR="00924C75" w:rsidRPr="00924C75" w:rsidRDefault="00924C75" w:rsidP="00924C75">
            <w:pPr>
              <w:pStyle w:val="Indent1"/>
              <w:rPr>
                <w:bCs/>
              </w:rPr>
            </w:pPr>
            <w:r w:rsidRPr="00924C75">
              <w:rPr>
                <w:bCs/>
              </w:rPr>
              <w:t>TBA</w:t>
            </w:r>
          </w:p>
        </w:tc>
        <w:tc>
          <w:tcPr>
            <w:tcW w:w="1643" w:type="dxa"/>
          </w:tcPr>
          <w:p w14:paraId="610C0354" w14:textId="4C02EFC2" w:rsidR="00924C75" w:rsidRPr="003608F0" w:rsidRDefault="00924C75" w:rsidP="00924C75">
            <w:pPr>
              <w:pStyle w:val="Indent1"/>
              <w:rPr>
                <w:bCs/>
              </w:rPr>
            </w:pPr>
            <w:r w:rsidRPr="003608F0">
              <w:rPr>
                <w:bCs/>
              </w:rPr>
              <w:t>12I</w:t>
            </w:r>
          </w:p>
        </w:tc>
        <w:tc>
          <w:tcPr>
            <w:tcW w:w="2016" w:type="dxa"/>
            <w:vAlign w:val="center"/>
          </w:tcPr>
          <w:p w14:paraId="24E889D4" w14:textId="176B996A" w:rsidR="00924C75" w:rsidRPr="003608F0" w:rsidRDefault="00924C75" w:rsidP="00924C75">
            <w:pPr>
              <w:pStyle w:val="Indent1"/>
              <w:jc w:val="left"/>
              <w:rPr>
                <w:bCs/>
              </w:rPr>
            </w:pPr>
            <w:r w:rsidRPr="003608F0">
              <w:rPr>
                <w:bCs/>
              </w:rPr>
              <w:t>Gilford Island North</w:t>
            </w:r>
          </w:p>
        </w:tc>
        <w:tc>
          <w:tcPr>
            <w:tcW w:w="2213" w:type="dxa"/>
          </w:tcPr>
          <w:p w14:paraId="07FC5B77" w14:textId="3BB1A8F2" w:rsidR="00924C75" w:rsidRPr="003608F0" w:rsidRDefault="00924C75" w:rsidP="00924C75">
            <w:pPr>
              <w:pStyle w:val="Indent1"/>
              <w:rPr>
                <w:bCs/>
              </w:rPr>
            </w:pPr>
            <w:r>
              <w:rPr>
                <w:szCs w:val="24"/>
              </w:rPr>
              <w:t>12-38, 12-39</w:t>
            </w:r>
          </w:p>
        </w:tc>
        <w:tc>
          <w:tcPr>
            <w:tcW w:w="992" w:type="dxa"/>
            <w:vAlign w:val="center"/>
          </w:tcPr>
          <w:p w14:paraId="774DA8B6" w14:textId="563AA15E" w:rsidR="00924C75" w:rsidRPr="003608F0" w:rsidRDefault="00653A35" w:rsidP="00924C75">
            <w:pPr>
              <w:pStyle w:val="Indent1"/>
              <w:jc w:val="center"/>
              <w:rPr>
                <w:bCs/>
              </w:rPr>
            </w:pPr>
            <w:r>
              <w:rPr>
                <w:bCs/>
              </w:rPr>
              <w:t>51.9</w:t>
            </w:r>
          </w:p>
        </w:tc>
        <w:tc>
          <w:tcPr>
            <w:tcW w:w="1388" w:type="dxa"/>
            <w:vAlign w:val="center"/>
          </w:tcPr>
          <w:p w14:paraId="794E4F11" w14:textId="7E6987ED" w:rsidR="00924C75" w:rsidRPr="003608F0" w:rsidRDefault="00924C75" w:rsidP="00924C75">
            <w:pPr>
              <w:pStyle w:val="Indent1"/>
              <w:jc w:val="center"/>
              <w:rPr>
                <w:bCs/>
              </w:rPr>
            </w:pPr>
            <w:r>
              <w:rPr>
                <w:bCs/>
              </w:rPr>
              <w:t>114,</w:t>
            </w:r>
            <w:r w:rsidR="00253A0E">
              <w:rPr>
                <w:bCs/>
              </w:rPr>
              <w:t>494</w:t>
            </w:r>
          </w:p>
        </w:tc>
      </w:tr>
      <w:tr w:rsidR="00924C75" w:rsidRPr="00F71E4C" w14:paraId="182B26A7" w14:textId="77777777" w:rsidTr="00F53FDF">
        <w:tc>
          <w:tcPr>
            <w:tcW w:w="1324" w:type="dxa"/>
          </w:tcPr>
          <w:p w14:paraId="456676F6" w14:textId="619EDF0D" w:rsidR="00924C75" w:rsidRPr="00AB4F03" w:rsidDel="00167193" w:rsidRDefault="00924C75" w:rsidP="00924C75">
            <w:pPr>
              <w:pStyle w:val="Indent1"/>
            </w:pPr>
            <w:r w:rsidRPr="00AB4F03">
              <w:t>TBA</w:t>
            </w:r>
          </w:p>
        </w:tc>
        <w:tc>
          <w:tcPr>
            <w:tcW w:w="1643" w:type="dxa"/>
          </w:tcPr>
          <w:p w14:paraId="06EE8254" w14:textId="2183978E" w:rsidR="00924C75" w:rsidRPr="00AB4F03" w:rsidRDefault="00924C75" w:rsidP="00924C75">
            <w:pPr>
              <w:pStyle w:val="Indent1"/>
            </w:pPr>
            <w:r w:rsidRPr="00AB4F03">
              <w:t xml:space="preserve">15A </w:t>
            </w:r>
          </w:p>
        </w:tc>
        <w:tc>
          <w:tcPr>
            <w:tcW w:w="2016" w:type="dxa"/>
            <w:vAlign w:val="center"/>
          </w:tcPr>
          <w:p w14:paraId="070A8485" w14:textId="6E236A36" w:rsidR="00924C75" w:rsidRPr="00AB4F03" w:rsidRDefault="00924C75" w:rsidP="00924C75">
            <w:pPr>
              <w:pStyle w:val="Indent1"/>
            </w:pPr>
            <w:r w:rsidRPr="00AB4F03">
              <w:t>West Redonda</w:t>
            </w:r>
          </w:p>
        </w:tc>
        <w:tc>
          <w:tcPr>
            <w:tcW w:w="2213" w:type="dxa"/>
          </w:tcPr>
          <w:p w14:paraId="398A980A" w14:textId="3B86F884" w:rsidR="00924C75" w:rsidRPr="00AB4F03" w:rsidRDefault="00924C75" w:rsidP="00924C75">
            <w:pPr>
              <w:pStyle w:val="Indent1"/>
            </w:pPr>
            <w:proofErr w:type="spellStart"/>
            <w:r w:rsidRPr="00AB4F03">
              <w:t>Ptn</w:t>
            </w:r>
            <w:proofErr w:type="spellEnd"/>
            <w:r w:rsidRPr="00AB4F03">
              <w:t>. 15-5</w:t>
            </w:r>
          </w:p>
        </w:tc>
        <w:tc>
          <w:tcPr>
            <w:tcW w:w="992" w:type="dxa"/>
            <w:vAlign w:val="center"/>
          </w:tcPr>
          <w:p w14:paraId="14F79A8B" w14:textId="61EC1AFC" w:rsidR="00924C75" w:rsidRPr="00AB4F03" w:rsidDel="00167193" w:rsidRDefault="00924C75" w:rsidP="00924C75">
            <w:pPr>
              <w:pStyle w:val="Indent1"/>
              <w:jc w:val="center"/>
            </w:pPr>
            <w:r>
              <w:t>2.3</w:t>
            </w:r>
          </w:p>
        </w:tc>
        <w:tc>
          <w:tcPr>
            <w:tcW w:w="1388" w:type="dxa"/>
            <w:vAlign w:val="center"/>
          </w:tcPr>
          <w:p w14:paraId="79F070FA" w14:textId="66276988" w:rsidR="00924C75" w:rsidRPr="00ED6635" w:rsidRDefault="00924C75" w:rsidP="00924C75">
            <w:pPr>
              <w:pStyle w:val="Indent1"/>
              <w:jc w:val="center"/>
              <w:rPr>
                <w:bCs/>
              </w:rPr>
            </w:pPr>
            <w:r w:rsidRPr="00ED6635">
              <w:rPr>
                <w:bCs/>
              </w:rPr>
              <w:t>5,000</w:t>
            </w:r>
          </w:p>
        </w:tc>
      </w:tr>
      <w:tr w:rsidR="00924C75" w:rsidRPr="00F71E4C" w14:paraId="3A5850B5" w14:textId="77777777" w:rsidTr="00F53FDF">
        <w:tc>
          <w:tcPr>
            <w:tcW w:w="1324" w:type="dxa"/>
          </w:tcPr>
          <w:p w14:paraId="36FB37C0" w14:textId="6C2EA605" w:rsidR="00924C75" w:rsidRPr="00AB4F03" w:rsidDel="00167193" w:rsidRDefault="00924C75" w:rsidP="00924C75">
            <w:pPr>
              <w:pStyle w:val="Indent1"/>
            </w:pPr>
            <w:r w:rsidRPr="00AB4F03">
              <w:t>TBA</w:t>
            </w:r>
          </w:p>
        </w:tc>
        <w:tc>
          <w:tcPr>
            <w:tcW w:w="1643" w:type="dxa"/>
          </w:tcPr>
          <w:p w14:paraId="5E969AAA" w14:textId="1E0AB2F1" w:rsidR="00924C75" w:rsidRPr="00AB4F03" w:rsidRDefault="00924C75" w:rsidP="00924C75">
            <w:pPr>
              <w:pStyle w:val="Indent1"/>
            </w:pPr>
            <w:r w:rsidRPr="00AB4F03">
              <w:t>15B</w:t>
            </w:r>
          </w:p>
        </w:tc>
        <w:tc>
          <w:tcPr>
            <w:tcW w:w="2016" w:type="dxa"/>
            <w:vAlign w:val="center"/>
          </w:tcPr>
          <w:p w14:paraId="52B84466" w14:textId="1AC376AD" w:rsidR="00924C75" w:rsidRPr="00AB4F03" w:rsidRDefault="00924C75" w:rsidP="00924C75">
            <w:pPr>
              <w:pStyle w:val="Indent1"/>
            </w:pPr>
            <w:r w:rsidRPr="00AB4F03">
              <w:t>East Redonda</w:t>
            </w:r>
          </w:p>
        </w:tc>
        <w:tc>
          <w:tcPr>
            <w:tcW w:w="2213" w:type="dxa"/>
          </w:tcPr>
          <w:p w14:paraId="0224D254" w14:textId="4CEECD4D" w:rsidR="00924C75" w:rsidRPr="00AB4F03" w:rsidRDefault="00924C75" w:rsidP="00924C75">
            <w:pPr>
              <w:pStyle w:val="Indent1"/>
            </w:pPr>
            <w:proofErr w:type="spellStart"/>
            <w:r w:rsidRPr="00AB4F03">
              <w:t>Ptn</w:t>
            </w:r>
            <w:proofErr w:type="spellEnd"/>
            <w:r w:rsidRPr="00AB4F03">
              <w:t>. 15-5</w:t>
            </w:r>
          </w:p>
        </w:tc>
        <w:tc>
          <w:tcPr>
            <w:tcW w:w="992" w:type="dxa"/>
            <w:vAlign w:val="center"/>
          </w:tcPr>
          <w:p w14:paraId="59A588C0" w14:textId="7490320F" w:rsidR="00924C75" w:rsidRPr="00AB4F03" w:rsidDel="00167193" w:rsidRDefault="00924C75" w:rsidP="00924C75">
            <w:pPr>
              <w:pStyle w:val="Indent1"/>
              <w:jc w:val="center"/>
            </w:pPr>
            <w:r>
              <w:t>2.3</w:t>
            </w:r>
          </w:p>
        </w:tc>
        <w:tc>
          <w:tcPr>
            <w:tcW w:w="1388" w:type="dxa"/>
            <w:vAlign w:val="center"/>
          </w:tcPr>
          <w:p w14:paraId="3E7C1C59" w14:textId="4C2D1128" w:rsidR="00924C75" w:rsidRPr="00ED6635" w:rsidRDefault="00924C75" w:rsidP="00924C75">
            <w:pPr>
              <w:pStyle w:val="Indent1"/>
              <w:jc w:val="center"/>
              <w:rPr>
                <w:bCs/>
              </w:rPr>
            </w:pPr>
            <w:r w:rsidRPr="00ED6635">
              <w:rPr>
                <w:bCs/>
              </w:rPr>
              <w:t>5,000</w:t>
            </w:r>
          </w:p>
        </w:tc>
      </w:tr>
      <w:tr w:rsidR="00924C75" w:rsidRPr="00F71E4C" w14:paraId="740F3F7A" w14:textId="77777777" w:rsidTr="00F53FDF">
        <w:tc>
          <w:tcPr>
            <w:tcW w:w="1324" w:type="dxa"/>
          </w:tcPr>
          <w:p w14:paraId="272F4EAA" w14:textId="4D086F9B" w:rsidR="00924C75" w:rsidRPr="00AB4F03" w:rsidDel="00167193" w:rsidRDefault="00924C75" w:rsidP="00924C75">
            <w:pPr>
              <w:pStyle w:val="Indent1"/>
            </w:pPr>
            <w:r w:rsidRPr="00AB4F03">
              <w:t>TBA</w:t>
            </w:r>
          </w:p>
        </w:tc>
        <w:tc>
          <w:tcPr>
            <w:tcW w:w="1643" w:type="dxa"/>
          </w:tcPr>
          <w:p w14:paraId="5CE9A420" w14:textId="118E73A1" w:rsidR="00924C75" w:rsidRPr="00AB4F03" w:rsidRDefault="00924C75" w:rsidP="00924C75">
            <w:pPr>
              <w:pStyle w:val="Indent1"/>
            </w:pPr>
            <w:r w:rsidRPr="00AB4F03">
              <w:t>15C</w:t>
            </w:r>
          </w:p>
        </w:tc>
        <w:tc>
          <w:tcPr>
            <w:tcW w:w="2016" w:type="dxa"/>
            <w:vAlign w:val="center"/>
          </w:tcPr>
          <w:p w14:paraId="0A4A4DB3" w14:textId="6EC28D22" w:rsidR="00924C75" w:rsidRPr="00AB4F03" w:rsidRDefault="00924C75" w:rsidP="00924C75">
            <w:pPr>
              <w:pStyle w:val="Indent1"/>
            </w:pPr>
            <w:r w:rsidRPr="00AB4F03">
              <w:t>South Desolation</w:t>
            </w:r>
          </w:p>
        </w:tc>
        <w:tc>
          <w:tcPr>
            <w:tcW w:w="2213" w:type="dxa"/>
          </w:tcPr>
          <w:p w14:paraId="5F9378FC" w14:textId="44EB62F2" w:rsidR="00924C75" w:rsidRPr="00AB4F03" w:rsidRDefault="00924C75" w:rsidP="00924C75">
            <w:pPr>
              <w:pStyle w:val="Indent1"/>
            </w:pPr>
            <w:r w:rsidRPr="00AB4F03">
              <w:t xml:space="preserve">15-4, </w:t>
            </w:r>
            <w:proofErr w:type="spellStart"/>
            <w:r w:rsidRPr="00AB4F03">
              <w:t>ptn</w:t>
            </w:r>
            <w:proofErr w:type="spellEnd"/>
            <w:r w:rsidRPr="00AB4F03">
              <w:t>. 15-5</w:t>
            </w:r>
          </w:p>
        </w:tc>
        <w:tc>
          <w:tcPr>
            <w:tcW w:w="992" w:type="dxa"/>
            <w:vAlign w:val="center"/>
          </w:tcPr>
          <w:p w14:paraId="379534CA" w14:textId="7F4168FC" w:rsidR="00924C75" w:rsidRPr="00AB4F03" w:rsidDel="00167193" w:rsidRDefault="00924C75" w:rsidP="00924C75">
            <w:pPr>
              <w:pStyle w:val="Indent1"/>
              <w:jc w:val="center"/>
            </w:pPr>
            <w:r>
              <w:t>2.3</w:t>
            </w:r>
          </w:p>
        </w:tc>
        <w:tc>
          <w:tcPr>
            <w:tcW w:w="1388" w:type="dxa"/>
            <w:vAlign w:val="center"/>
          </w:tcPr>
          <w:p w14:paraId="7216E9AB" w14:textId="667E243B" w:rsidR="00924C75" w:rsidRPr="00253A0E" w:rsidRDefault="00924C75" w:rsidP="00924C75">
            <w:pPr>
              <w:pStyle w:val="Indent1"/>
              <w:jc w:val="center"/>
              <w:rPr>
                <w:bCs/>
              </w:rPr>
            </w:pPr>
            <w:r w:rsidRPr="00253A0E">
              <w:rPr>
                <w:bCs/>
              </w:rPr>
              <w:t>5,000</w:t>
            </w:r>
          </w:p>
        </w:tc>
      </w:tr>
      <w:tr w:rsidR="00924C75" w:rsidRPr="00F71E4C" w14:paraId="57DEB0D7" w14:textId="77777777" w:rsidTr="00F53FDF">
        <w:tc>
          <w:tcPr>
            <w:tcW w:w="1324" w:type="dxa"/>
          </w:tcPr>
          <w:p w14:paraId="6B54A494" w14:textId="623499B5" w:rsidR="00924C75" w:rsidRPr="00AB4F03" w:rsidDel="00167193" w:rsidRDefault="00924C75" w:rsidP="00924C75">
            <w:pPr>
              <w:pStyle w:val="Indent1"/>
            </w:pPr>
            <w:r w:rsidRPr="00AB4F03">
              <w:t>TBA</w:t>
            </w:r>
          </w:p>
        </w:tc>
        <w:tc>
          <w:tcPr>
            <w:tcW w:w="1643" w:type="dxa"/>
          </w:tcPr>
          <w:p w14:paraId="293AB35C" w14:textId="0FC054B9" w:rsidR="00924C75" w:rsidRPr="00AB4F03" w:rsidRDefault="00924C75" w:rsidP="00924C75">
            <w:pPr>
              <w:pStyle w:val="Indent1"/>
            </w:pPr>
            <w:r w:rsidRPr="00AB4F03">
              <w:t>16A</w:t>
            </w:r>
          </w:p>
        </w:tc>
        <w:tc>
          <w:tcPr>
            <w:tcW w:w="2016" w:type="dxa"/>
            <w:vAlign w:val="center"/>
          </w:tcPr>
          <w:p w14:paraId="4BFF91FC" w14:textId="607F0643" w:rsidR="00924C75" w:rsidRPr="00AB4F03" w:rsidRDefault="00924C75" w:rsidP="00924C75">
            <w:pPr>
              <w:pStyle w:val="Indent1"/>
            </w:pPr>
            <w:r w:rsidRPr="00AB4F03">
              <w:t>Sechelt Inlet</w:t>
            </w:r>
          </w:p>
        </w:tc>
        <w:tc>
          <w:tcPr>
            <w:tcW w:w="2213" w:type="dxa"/>
          </w:tcPr>
          <w:p w14:paraId="269047EA" w14:textId="04201601" w:rsidR="00924C75" w:rsidRPr="00AB4F03" w:rsidRDefault="00924C75" w:rsidP="00924C75">
            <w:pPr>
              <w:pStyle w:val="Indent1"/>
            </w:pPr>
            <w:r w:rsidRPr="00AB4F03">
              <w:t xml:space="preserve">16-6 to 16-8, </w:t>
            </w:r>
            <w:proofErr w:type="spellStart"/>
            <w:r w:rsidRPr="00AB4F03">
              <w:t>ptn</w:t>
            </w:r>
            <w:proofErr w:type="spellEnd"/>
            <w:r w:rsidRPr="00AB4F03">
              <w:t>. of 16-9</w:t>
            </w:r>
          </w:p>
        </w:tc>
        <w:tc>
          <w:tcPr>
            <w:tcW w:w="992" w:type="dxa"/>
            <w:vAlign w:val="center"/>
          </w:tcPr>
          <w:p w14:paraId="0823ADE8" w14:textId="4AD9A461" w:rsidR="00924C75" w:rsidRPr="00AB4F03" w:rsidDel="00167193" w:rsidRDefault="00653A35" w:rsidP="00924C75">
            <w:pPr>
              <w:pStyle w:val="Indent1"/>
              <w:jc w:val="center"/>
            </w:pPr>
            <w:r>
              <w:t>3.6</w:t>
            </w:r>
          </w:p>
        </w:tc>
        <w:tc>
          <w:tcPr>
            <w:tcW w:w="1388" w:type="dxa"/>
            <w:vAlign w:val="center"/>
          </w:tcPr>
          <w:p w14:paraId="5BD36536" w14:textId="64D67B1E" w:rsidR="00924C75" w:rsidRPr="00681304" w:rsidRDefault="00253A0E" w:rsidP="00924C75">
            <w:pPr>
              <w:pStyle w:val="Indent1"/>
              <w:jc w:val="center"/>
              <w:rPr>
                <w:b/>
              </w:rPr>
            </w:pPr>
            <w:r>
              <w:rPr>
                <w:b/>
              </w:rPr>
              <w:t>8</w:t>
            </w:r>
            <w:r w:rsidR="00924C75" w:rsidRPr="00681304">
              <w:rPr>
                <w:b/>
              </w:rPr>
              <w:t>,000</w:t>
            </w:r>
          </w:p>
        </w:tc>
      </w:tr>
      <w:tr w:rsidR="00ED6635" w:rsidRPr="00F71E4C" w14:paraId="60D5F869" w14:textId="77777777" w:rsidTr="00F53FDF">
        <w:tc>
          <w:tcPr>
            <w:tcW w:w="1324" w:type="dxa"/>
          </w:tcPr>
          <w:p w14:paraId="3FA08187" w14:textId="53B3223A" w:rsidR="00ED6635" w:rsidRPr="00AB4F03" w:rsidRDefault="00ED6635" w:rsidP="00924C75">
            <w:pPr>
              <w:pStyle w:val="Indent1"/>
            </w:pPr>
            <w:r>
              <w:t>TBA</w:t>
            </w:r>
          </w:p>
        </w:tc>
        <w:tc>
          <w:tcPr>
            <w:tcW w:w="1643" w:type="dxa"/>
          </w:tcPr>
          <w:p w14:paraId="0B95EF57" w14:textId="74AA0E6E" w:rsidR="00ED6635" w:rsidRPr="00AB4F03" w:rsidRDefault="00ED6635" w:rsidP="00924C75">
            <w:pPr>
              <w:pStyle w:val="Indent1"/>
            </w:pPr>
            <w:r>
              <w:t>16B</w:t>
            </w:r>
          </w:p>
        </w:tc>
        <w:tc>
          <w:tcPr>
            <w:tcW w:w="2016" w:type="dxa"/>
            <w:vAlign w:val="center"/>
          </w:tcPr>
          <w:p w14:paraId="120B812C" w14:textId="340ECD73" w:rsidR="00ED6635" w:rsidRPr="00AB4F03" w:rsidRDefault="00ED6635" w:rsidP="00924C75">
            <w:pPr>
              <w:pStyle w:val="Indent1"/>
            </w:pPr>
            <w:r>
              <w:t>Jervis Inlet</w:t>
            </w:r>
          </w:p>
        </w:tc>
        <w:tc>
          <w:tcPr>
            <w:tcW w:w="2213" w:type="dxa"/>
          </w:tcPr>
          <w:p w14:paraId="5E674109" w14:textId="5D9D8432" w:rsidR="00ED6635" w:rsidRPr="00AB4F03" w:rsidRDefault="00ED6635" w:rsidP="00924C75">
            <w:pPr>
              <w:pStyle w:val="Indent1"/>
            </w:pPr>
            <w:r>
              <w:rPr>
                <w:szCs w:val="24"/>
              </w:rPr>
              <w:t xml:space="preserve">16-10, </w:t>
            </w:r>
            <w:proofErr w:type="spellStart"/>
            <w:r>
              <w:rPr>
                <w:szCs w:val="24"/>
              </w:rPr>
              <w:t>ptn</w:t>
            </w:r>
            <w:proofErr w:type="spellEnd"/>
            <w:r>
              <w:rPr>
                <w:szCs w:val="24"/>
              </w:rPr>
              <w:t>. 16-11;      16-12, 16-13</w:t>
            </w:r>
          </w:p>
        </w:tc>
        <w:tc>
          <w:tcPr>
            <w:tcW w:w="992" w:type="dxa"/>
            <w:vAlign w:val="center"/>
          </w:tcPr>
          <w:p w14:paraId="3A36DE1F" w14:textId="2B4E2230" w:rsidR="00ED6635" w:rsidRDefault="00653A35" w:rsidP="00924C75">
            <w:pPr>
              <w:pStyle w:val="Indent1"/>
              <w:jc w:val="center"/>
            </w:pPr>
            <w:r>
              <w:t>2.7</w:t>
            </w:r>
          </w:p>
        </w:tc>
        <w:tc>
          <w:tcPr>
            <w:tcW w:w="1388" w:type="dxa"/>
            <w:vAlign w:val="center"/>
          </w:tcPr>
          <w:p w14:paraId="65F41BA8" w14:textId="34D304FB" w:rsidR="00ED6635" w:rsidRPr="00681304" w:rsidRDefault="00253A0E" w:rsidP="00924C75">
            <w:pPr>
              <w:pStyle w:val="Indent1"/>
              <w:jc w:val="center"/>
              <w:rPr>
                <w:b/>
              </w:rPr>
            </w:pPr>
            <w:r>
              <w:rPr>
                <w:b/>
              </w:rPr>
              <w:t>6,000</w:t>
            </w:r>
          </w:p>
        </w:tc>
      </w:tr>
      <w:tr w:rsidR="00924C75" w:rsidRPr="00F71E4C" w14:paraId="34A8D7AC" w14:textId="77777777" w:rsidTr="00F53FDF">
        <w:tc>
          <w:tcPr>
            <w:tcW w:w="1324" w:type="dxa"/>
          </w:tcPr>
          <w:p w14:paraId="3B3E09BF" w14:textId="69759D70" w:rsidR="00924C75" w:rsidRPr="00F71E4C" w:rsidRDefault="00924C75" w:rsidP="00924C75">
            <w:pPr>
              <w:pStyle w:val="Indent1"/>
            </w:pPr>
            <w:r>
              <w:t>TBA</w:t>
            </w:r>
          </w:p>
        </w:tc>
        <w:tc>
          <w:tcPr>
            <w:tcW w:w="1643" w:type="dxa"/>
          </w:tcPr>
          <w:p w14:paraId="5608B23C" w14:textId="2C828D24" w:rsidR="00924C75" w:rsidRPr="00F71E4C" w:rsidRDefault="00924C75" w:rsidP="00924C75">
            <w:pPr>
              <w:pStyle w:val="Indent1"/>
              <w:jc w:val="left"/>
            </w:pPr>
            <w:r>
              <w:t>16C</w:t>
            </w:r>
            <w:r w:rsidRPr="00F71E4C">
              <w:t xml:space="preserve"> </w:t>
            </w:r>
          </w:p>
        </w:tc>
        <w:tc>
          <w:tcPr>
            <w:tcW w:w="2016" w:type="dxa"/>
            <w:vAlign w:val="center"/>
          </w:tcPr>
          <w:p w14:paraId="26AA9D70" w14:textId="3ADF904A" w:rsidR="00924C75" w:rsidRPr="00F71E4C" w:rsidRDefault="00924C75" w:rsidP="00924C75">
            <w:pPr>
              <w:pStyle w:val="Indent1"/>
              <w:jc w:val="left"/>
            </w:pPr>
            <w:proofErr w:type="spellStart"/>
            <w:r>
              <w:t>Texada</w:t>
            </w:r>
            <w:proofErr w:type="spellEnd"/>
            <w:r w:rsidRPr="00F71E4C">
              <w:t xml:space="preserve"> Island</w:t>
            </w:r>
          </w:p>
        </w:tc>
        <w:tc>
          <w:tcPr>
            <w:tcW w:w="2213" w:type="dxa"/>
          </w:tcPr>
          <w:p w14:paraId="7A668BE7" w14:textId="5CFFBCB3" w:rsidR="00924C75" w:rsidRPr="00F71E4C" w:rsidRDefault="00924C75" w:rsidP="00924C75">
            <w:pPr>
              <w:pStyle w:val="Indent1"/>
            </w:pPr>
            <w:r>
              <w:rPr>
                <w:color w:val="000000"/>
              </w:rPr>
              <w:t>15-1, 16-18, 16-21, 16-22</w:t>
            </w:r>
          </w:p>
        </w:tc>
        <w:tc>
          <w:tcPr>
            <w:tcW w:w="992" w:type="dxa"/>
            <w:vAlign w:val="center"/>
          </w:tcPr>
          <w:p w14:paraId="4B12224A" w14:textId="56D3A248" w:rsidR="00924C75" w:rsidRPr="00AE0818" w:rsidRDefault="00653A35" w:rsidP="00924C75">
            <w:pPr>
              <w:pStyle w:val="Indent1"/>
              <w:jc w:val="center"/>
              <w:rPr>
                <w:highlight w:val="yellow"/>
              </w:rPr>
            </w:pPr>
            <w:r>
              <w:t>6.8</w:t>
            </w:r>
          </w:p>
        </w:tc>
        <w:tc>
          <w:tcPr>
            <w:tcW w:w="1388" w:type="dxa"/>
            <w:vAlign w:val="center"/>
          </w:tcPr>
          <w:p w14:paraId="11BA5703" w14:textId="1E72DC0A" w:rsidR="00924C75" w:rsidRPr="00681304" w:rsidRDefault="00253A0E" w:rsidP="00924C75">
            <w:pPr>
              <w:pStyle w:val="Indent1"/>
              <w:jc w:val="center"/>
              <w:rPr>
                <w:b/>
                <w:highlight w:val="yellow"/>
              </w:rPr>
            </w:pPr>
            <w:r>
              <w:rPr>
                <w:b/>
              </w:rPr>
              <w:t>1</w:t>
            </w:r>
            <w:r w:rsidR="00924C75" w:rsidRPr="00681304">
              <w:rPr>
                <w:b/>
              </w:rPr>
              <w:t>5,000</w:t>
            </w:r>
          </w:p>
        </w:tc>
      </w:tr>
      <w:tr w:rsidR="00924C75" w:rsidRPr="00F71E4C" w14:paraId="38121EDF" w14:textId="77777777" w:rsidTr="00AB4F03">
        <w:tc>
          <w:tcPr>
            <w:tcW w:w="1324" w:type="dxa"/>
            <w:shd w:val="clear" w:color="auto" w:fill="auto"/>
          </w:tcPr>
          <w:p w14:paraId="5AA2597C" w14:textId="57BAA70B" w:rsidR="00924C75" w:rsidRPr="00AB4F03" w:rsidRDefault="00924C75" w:rsidP="00924C75">
            <w:pPr>
              <w:pStyle w:val="Indent1"/>
            </w:pPr>
            <w:r w:rsidRPr="00AB4F03">
              <w:t>TBA</w:t>
            </w:r>
          </w:p>
        </w:tc>
        <w:tc>
          <w:tcPr>
            <w:tcW w:w="1643" w:type="dxa"/>
            <w:shd w:val="clear" w:color="auto" w:fill="auto"/>
          </w:tcPr>
          <w:p w14:paraId="214FCE87" w14:textId="6CF74659" w:rsidR="00924C75" w:rsidRPr="00AB4F03" w:rsidRDefault="00924C75" w:rsidP="00924C75">
            <w:pPr>
              <w:pStyle w:val="Indent1"/>
            </w:pPr>
            <w:r w:rsidRPr="00AB4F03">
              <w:t>16D</w:t>
            </w:r>
          </w:p>
        </w:tc>
        <w:tc>
          <w:tcPr>
            <w:tcW w:w="2016" w:type="dxa"/>
            <w:shd w:val="clear" w:color="auto" w:fill="auto"/>
            <w:vAlign w:val="center"/>
          </w:tcPr>
          <w:p w14:paraId="0DB2DAC7" w14:textId="1A7021A2" w:rsidR="00924C75" w:rsidRPr="00AB4F03" w:rsidRDefault="00924C75" w:rsidP="00924C75">
            <w:pPr>
              <w:pStyle w:val="Indent1"/>
            </w:pPr>
            <w:r w:rsidRPr="00AB4F03">
              <w:t>Lasqueti Island</w:t>
            </w:r>
          </w:p>
        </w:tc>
        <w:tc>
          <w:tcPr>
            <w:tcW w:w="2213" w:type="dxa"/>
            <w:shd w:val="clear" w:color="auto" w:fill="auto"/>
          </w:tcPr>
          <w:p w14:paraId="217FAD95" w14:textId="71B1E055" w:rsidR="00924C75" w:rsidRPr="00AB4F03" w:rsidRDefault="00924C75" w:rsidP="00924C75">
            <w:pPr>
              <w:pStyle w:val="Indent1"/>
            </w:pPr>
            <w:r w:rsidRPr="00AB4F03">
              <w:t>14-3, 16-19, 16-20</w:t>
            </w:r>
          </w:p>
        </w:tc>
        <w:tc>
          <w:tcPr>
            <w:tcW w:w="992" w:type="dxa"/>
            <w:shd w:val="clear" w:color="auto" w:fill="auto"/>
            <w:vAlign w:val="center"/>
          </w:tcPr>
          <w:p w14:paraId="3A32E3D4" w14:textId="3FB95A8C" w:rsidR="00924C75" w:rsidRPr="00AB4F03" w:rsidRDefault="00924C75" w:rsidP="00924C75">
            <w:pPr>
              <w:pStyle w:val="Indent1"/>
              <w:jc w:val="center"/>
            </w:pPr>
            <w:r>
              <w:t>4.</w:t>
            </w:r>
            <w:r w:rsidR="00653A35">
              <w:t>5</w:t>
            </w:r>
          </w:p>
        </w:tc>
        <w:tc>
          <w:tcPr>
            <w:tcW w:w="1388" w:type="dxa"/>
            <w:shd w:val="clear" w:color="auto" w:fill="auto"/>
            <w:vAlign w:val="center"/>
          </w:tcPr>
          <w:p w14:paraId="4D5B066B" w14:textId="205BDA2B" w:rsidR="00924C75" w:rsidRPr="00681304" w:rsidRDefault="00253A0E" w:rsidP="00924C75">
            <w:pPr>
              <w:pStyle w:val="Indent1"/>
              <w:jc w:val="center"/>
              <w:rPr>
                <w:b/>
              </w:rPr>
            </w:pPr>
            <w:r>
              <w:rPr>
                <w:b/>
              </w:rPr>
              <w:t>10</w:t>
            </w:r>
            <w:r w:rsidR="00924C75" w:rsidRPr="00681304">
              <w:rPr>
                <w:b/>
              </w:rPr>
              <w:t>,000</w:t>
            </w:r>
          </w:p>
        </w:tc>
      </w:tr>
      <w:tr w:rsidR="00924C75" w:rsidRPr="00F71E4C" w14:paraId="599B1A95" w14:textId="77777777" w:rsidTr="00F53FDF">
        <w:tc>
          <w:tcPr>
            <w:tcW w:w="7196" w:type="dxa"/>
            <w:gridSpan w:val="4"/>
            <w:tcBorders>
              <w:bottom w:val="single" w:sz="4" w:space="0" w:color="auto"/>
            </w:tcBorders>
          </w:tcPr>
          <w:p w14:paraId="57D80DCD" w14:textId="77777777" w:rsidR="00924C75" w:rsidRPr="00F71E4C" w:rsidRDefault="00924C75" w:rsidP="00924C75">
            <w:pPr>
              <w:pStyle w:val="Indent1"/>
              <w:rPr>
                <w:b/>
              </w:rPr>
            </w:pPr>
            <w:r w:rsidRPr="00F71E4C">
              <w:rPr>
                <w:b/>
              </w:rPr>
              <w:t>ECVI Total</w:t>
            </w:r>
          </w:p>
        </w:tc>
        <w:tc>
          <w:tcPr>
            <w:tcW w:w="992" w:type="dxa"/>
            <w:tcBorders>
              <w:bottom w:val="single" w:sz="4" w:space="0" w:color="auto"/>
            </w:tcBorders>
            <w:vAlign w:val="center"/>
          </w:tcPr>
          <w:p w14:paraId="169654FB" w14:textId="7A7AB855" w:rsidR="00924C75" w:rsidRPr="00F71E4C" w:rsidRDefault="00653A35" w:rsidP="00924C75">
            <w:pPr>
              <w:pStyle w:val="Indent1"/>
              <w:jc w:val="center"/>
              <w:rPr>
                <w:b/>
              </w:rPr>
            </w:pPr>
            <w:r>
              <w:rPr>
                <w:b/>
              </w:rPr>
              <w:t>130.6</w:t>
            </w:r>
          </w:p>
        </w:tc>
        <w:tc>
          <w:tcPr>
            <w:tcW w:w="1388" w:type="dxa"/>
            <w:tcBorders>
              <w:bottom w:val="single" w:sz="4" w:space="0" w:color="auto"/>
            </w:tcBorders>
            <w:vAlign w:val="center"/>
          </w:tcPr>
          <w:p w14:paraId="2046DD0E" w14:textId="43D7DC03" w:rsidR="00924C75" w:rsidRPr="00F71E4C" w:rsidRDefault="00924C75" w:rsidP="00924C75">
            <w:pPr>
              <w:pStyle w:val="Indent1"/>
              <w:jc w:val="center"/>
              <w:rPr>
                <w:b/>
              </w:rPr>
            </w:pPr>
            <w:r>
              <w:rPr>
                <w:b/>
              </w:rPr>
              <w:t>288,000</w:t>
            </w:r>
          </w:p>
        </w:tc>
      </w:tr>
      <w:tr w:rsidR="00924C75" w:rsidRPr="00F71E4C" w14:paraId="7261819C" w14:textId="77777777" w:rsidTr="00F53FDF">
        <w:tc>
          <w:tcPr>
            <w:tcW w:w="9576" w:type="dxa"/>
            <w:gridSpan w:val="6"/>
            <w:shd w:val="pct20" w:color="auto" w:fill="auto"/>
            <w:vAlign w:val="center"/>
          </w:tcPr>
          <w:p w14:paraId="2E579E52" w14:textId="28D1F0DA" w:rsidR="00924C75" w:rsidRPr="00F71E4C" w:rsidRDefault="00924C75" w:rsidP="00924C75">
            <w:pPr>
              <w:pStyle w:val="Indent1"/>
              <w:jc w:val="left"/>
              <w:rPr>
                <w:b/>
              </w:rPr>
            </w:pPr>
            <w:r w:rsidRPr="00F71E4C">
              <w:rPr>
                <w:b/>
              </w:rPr>
              <w:t xml:space="preserve">West Coast </w:t>
            </w:r>
            <w:r>
              <w:rPr>
                <w:b/>
              </w:rPr>
              <w:t>Vancouver Island Licence Area (6</w:t>
            </w:r>
            <w:r w:rsidRPr="00F71E4C">
              <w:rPr>
                <w:b/>
              </w:rPr>
              <w:t xml:space="preserve"> </w:t>
            </w:r>
            <w:proofErr w:type="spellStart"/>
            <w:r w:rsidRPr="00F71E4C">
              <w:rPr>
                <w:b/>
              </w:rPr>
              <w:t>licences</w:t>
            </w:r>
            <w:proofErr w:type="spellEnd"/>
            <w:r w:rsidRPr="00F71E4C">
              <w:rPr>
                <w:b/>
              </w:rPr>
              <w:t>)</w:t>
            </w:r>
          </w:p>
        </w:tc>
      </w:tr>
      <w:tr w:rsidR="00924C75" w:rsidRPr="00F71E4C" w14:paraId="57C222BF" w14:textId="77777777" w:rsidTr="00F53FDF">
        <w:tc>
          <w:tcPr>
            <w:tcW w:w="1324" w:type="dxa"/>
          </w:tcPr>
          <w:p w14:paraId="21B62500" w14:textId="3A323EB6" w:rsidR="00924C75" w:rsidRPr="00F71E4C" w:rsidRDefault="00924C75" w:rsidP="00924C75">
            <w:pPr>
              <w:pStyle w:val="Indent1"/>
            </w:pPr>
            <w:r w:rsidRPr="00F71E4C">
              <w:t>October 8</w:t>
            </w:r>
          </w:p>
        </w:tc>
        <w:tc>
          <w:tcPr>
            <w:tcW w:w="1643" w:type="dxa"/>
          </w:tcPr>
          <w:p w14:paraId="63B6370E" w14:textId="349C9EB0" w:rsidR="00924C75" w:rsidRPr="00F71E4C" w:rsidRDefault="00924C75" w:rsidP="00924C75">
            <w:pPr>
              <w:pStyle w:val="Indent1"/>
            </w:pPr>
            <w:r w:rsidRPr="00F71E4C">
              <w:t>24A</w:t>
            </w:r>
          </w:p>
        </w:tc>
        <w:tc>
          <w:tcPr>
            <w:tcW w:w="2016" w:type="dxa"/>
            <w:vAlign w:val="center"/>
          </w:tcPr>
          <w:p w14:paraId="606B0DEB" w14:textId="7780A638" w:rsidR="00924C75" w:rsidRPr="00F71E4C" w:rsidRDefault="00924C75" w:rsidP="00924C75">
            <w:pPr>
              <w:pStyle w:val="Indent1"/>
            </w:pPr>
            <w:r w:rsidRPr="00F71E4C">
              <w:t>North Clayoquot</w:t>
            </w:r>
          </w:p>
        </w:tc>
        <w:tc>
          <w:tcPr>
            <w:tcW w:w="2213" w:type="dxa"/>
          </w:tcPr>
          <w:p w14:paraId="0601D78D" w14:textId="1D759BD8" w:rsidR="00924C75" w:rsidRPr="00F71E4C" w:rsidRDefault="00924C75" w:rsidP="00924C75">
            <w:pPr>
              <w:pStyle w:val="Indent1"/>
            </w:pPr>
            <w:r w:rsidRPr="00F71E4C">
              <w:t>24-4 to 24-6, 24-14</w:t>
            </w:r>
          </w:p>
        </w:tc>
        <w:tc>
          <w:tcPr>
            <w:tcW w:w="992" w:type="dxa"/>
            <w:vAlign w:val="center"/>
          </w:tcPr>
          <w:p w14:paraId="0FB6F446" w14:textId="6516CFD2" w:rsidR="00924C75" w:rsidRPr="001A145F" w:rsidRDefault="00924C75" w:rsidP="00924C75">
            <w:pPr>
              <w:pStyle w:val="Indent1"/>
              <w:jc w:val="center"/>
            </w:pPr>
            <w:r w:rsidRPr="001A145F">
              <w:t>9.1</w:t>
            </w:r>
          </w:p>
        </w:tc>
        <w:tc>
          <w:tcPr>
            <w:tcW w:w="1388" w:type="dxa"/>
            <w:vAlign w:val="center"/>
          </w:tcPr>
          <w:p w14:paraId="78C5CFCF" w14:textId="6B6A96A5" w:rsidR="00924C75" w:rsidRPr="00EF348C" w:rsidRDefault="00924C75" w:rsidP="00924C75">
            <w:pPr>
              <w:pStyle w:val="Indent1"/>
              <w:jc w:val="center"/>
            </w:pPr>
            <w:r w:rsidRPr="00EF348C">
              <w:t>20,000</w:t>
            </w:r>
          </w:p>
        </w:tc>
      </w:tr>
      <w:tr w:rsidR="00924C75" w:rsidRPr="00F71E4C" w14:paraId="683DE063" w14:textId="77777777" w:rsidTr="00F53FDF">
        <w:tc>
          <w:tcPr>
            <w:tcW w:w="1324" w:type="dxa"/>
          </w:tcPr>
          <w:p w14:paraId="4DBBDE9D" w14:textId="2F082AE6" w:rsidR="00924C75" w:rsidRPr="00F71E4C" w:rsidDel="006C5AFD" w:rsidRDefault="00924C75" w:rsidP="00924C75">
            <w:pPr>
              <w:pStyle w:val="Indent1"/>
            </w:pPr>
            <w:r w:rsidRPr="00F71E4C">
              <w:t>October 8</w:t>
            </w:r>
          </w:p>
        </w:tc>
        <w:tc>
          <w:tcPr>
            <w:tcW w:w="1643" w:type="dxa"/>
          </w:tcPr>
          <w:p w14:paraId="3B581616" w14:textId="67627E30" w:rsidR="00924C75" w:rsidRPr="00F71E4C" w:rsidRDefault="00924C75" w:rsidP="00924C75">
            <w:pPr>
              <w:pStyle w:val="Indent1"/>
            </w:pPr>
            <w:r w:rsidRPr="00F71E4C">
              <w:t>24B</w:t>
            </w:r>
          </w:p>
        </w:tc>
        <w:tc>
          <w:tcPr>
            <w:tcW w:w="2016" w:type="dxa"/>
            <w:vAlign w:val="center"/>
          </w:tcPr>
          <w:p w14:paraId="3D5416CB" w14:textId="488FDFF6" w:rsidR="00924C75" w:rsidRPr="00F71E4C" w:rsidRDefault="00924C75" w:rsidP="00924C75">
            <w:pPr>
              <w:pStyle w:val="Indent1"/>
              <w:jc w:val="left"/>
            </w:pPr>
            <w:r w:rsidRPr="00F71E4C">
              <w:t>South Clayoquot</w:t>
            </w:r>
          </w:p>
        </w:tc>
        <w:tc>
          <w:tcPr>
            <w:tcW w:w="2213" w:type="dxa"/>
          </w:tcPr>
          <w:p w14:paraId="5DFB4A8D" w14:textId="528FC91E" w:rsidR="00924C75" w:rsidRPr="00F71E4C" w:rsidDel="006C5AFD" w:rsidRDefault="00924C75" w:rsidP="00924C75">
            <w:pPr>
              <w:pStyle w:val="Indent1"/>
            </w:pPr>
            <w:r w:rsidRPr="00F71E4C">
              <w:t>24-7, 24-10</w:t>
            </w:r>
          </w:p>
        </w:tc>
        <w:tc>
          <w:tcPr>
            <w:tcW w:w="992" w:type="dxa"/>
            <w:vAlign w:val="center"/>
          </w:tcPr>
          <w:p w14:paraId="0C67F724" w14:textId="18A3C5B9" w:rsidR="00924C75" w:rsidRPr="001A145F" w:rsidDel="006C5AFD" w:rsidRDefault="00924C75" w:rsidP="00924C75">
            <w:pPr>
              <w:pStyle w:val="Indent1"/>
              <w:jc w:val="center"/>
            </w:pPr>
            <w:r w:rsidRPr="001A145F">
              <w:t>5.4</w:t>
            </w:r>
          </w:p>
        </w:tc>
        <w:tc>
          <w:tcPr>
            <w:tcW w:w="1388" w:type="dxa"/>
            <w:vAlign w:val="center"/>
          </w:tcPr>
          <w:p w14:paraId="0B80D37C" w14:textId="746E31BA" w:rsidR="00924C75" w:rsidRPr="00EF348C" w:rsidRDefault="00924C75" w:rsidP="00924C75">
            <w:pPr>
              <w:pStyle w:val="Indent1"/>
              <w:jc w:val="center"/>
            </w:pPr>
            <w:r w:rsidRPr="00EF348C">
              <w:t>12,000</w:t>
            </w:r>
          </w:p>
        </w:tc>
      </w:tr>
      <w:tr w:rsidR="00924C75" w:rsidRPr="00F71E4C" w14:paraId="0290BAEF" w14:textId="77777777" w:rsidTr="00F53FDF">
        <w:tc>
          <w:tcPr>
            <w:tcW w:w="1324" w:type="dxa"/>
          </w:tcPr>
          <w:p w14:paraId="28D6137A" w14:textId="294ACEA8" w:rsidR="00924C75" w:rsidRPr="00F71E4C" w:rsidRDefault="00924C75" w:rsidP="00924C75">
            <w:pPr>
              <w:pStyle w:val="Indent1"/>
            </w:pPr>
            <w:r w:rsidRPr="00F71E4C">
              <w:lastRenderedPageBreak/>
              <w:t>October 8</w:t>
            </w:r>
          </w:p>
        </w:tc>
        <w:tc>
          <w:tcPr>
            <w:tcW w:w="1643" w:type="dxa"/>
          </w:tcPr>
          <w:p w14:paraId="37B5FD2C" w14:textId="6A467509" w:rsidR="00924C75" w:rsidRPr="00F71E4C" w:rsidRDefault="00924C75" w:rsidP="00924C75">
            <w:pPr>
              <w:pStyle w:val="Indent1"/>
            </w:pPr>
            <w:r>
              <w:t>25A</w:t>
            </w:r>
          </w:p>
        </w:tc>
        <w:tc>
          <w:tcPr>
            <w:tcW w:w="2016" w:type="dxa"/>
            <w:vAlign w:val="center"/>
          </w:tcPr>
          <w:p w14:paraId="5BBE5042" w14:textId="090CD61A" w:rsidR="00924C75" w:rsidRPr="00F71E4C" w:rsidRDefault="00924C75" w:rsidP="00924C75">
            <w:pPr>
              <w:pStyle w:val="Indent1"/>
              <w:jc w:val="left"/>
            </w:pPr>
            <w:r>
              <w:t>Nootka/</w:t>
            </w:r>
            <w:proofErr w:type="spellStart"/>
            <w:r>
              <w:t>Tahsis</w:t>
            </w:r>
            <w:proofErr w:type="spellEnd"/>
          </w:p>
        </w:tc>
        <w:tc>
          <w:tcPr>
            <w:tcW w:w="2213" w:type="dxa"/>
          </w:tcPr>
          <w:p w14:paraId="2F19D48F" w14:textId="3E631A45" w:rsidR="00924C75" w:rsidRPr="00F71E4C" w:rsidRDefault="00924C75" w:rsidP="00924C75">
            <w:pPr>
              <w:pStyle w:val="Indent1"/>
            </w:pPr>
            <w:r>
              <w:t>25-6, 25-8, 25-9, 25-12, 25-15</w:t>
            </w:r>
          </w:p>
        </w:tc>
        <w:tc>
          <w:tcPr>
            <w:tcW w:w="992" w:type="dxa"/>
            <w:vAlign w:val="center"/>
          </w:tcPr>
          <w:p w14:paraId="0CFC50F6" w14:textId="44581195" w:rsidR="00924C75" w:rsidRPr="001A145F" w:rsidRDefault="00924C75" w:rsidP="00924C75">
            <w:pPr>
              <w:pStyle w:val="Indent1"/>
              <w:jc w:val="center"/>
            </w:pPr>
            <w:r w:rsidRPr="001A145F">
              <w:t>9.1</w:t>
            </w:r>
          </w:p>
        </w:tc>
        <w:tc>
          <w:tcPr>
            <w:tcW w:w="1388" w:type="dxa"/>
            <w:vAlign w:val="center"/>
          </w:tcPr>
          <w:p w14:paraId="46BAAD22" w14:textId="648BD380" w:rsidR="00924C75" w:rsidRPr="00EF348C" w:rsidRDefault="00924C75" w:rsidP="00924C75">
            <w:pPr>
              <w:pStyle w:val="Indent1"/>
              <w:jc w:val="center"/>
            </w:pPr>
            <w:r>
              <w:t>20</w:t>
            </w:r>
            <w:r w:rsidRPr="00EF348C">
              <w:t>,000</w:t>
            </w:r>
          </w:p>
        </w:tc>
      </w:tr>
      <w:tr w:rsidR="00924C75" w:rsidRPr="00F71E4C" w14:paraId="595F5BF8" w14:textId="77777777" w:rsidTr="00F53FDF">
        <w:tc>
          <w:tcPr>
            <w:tcW w:w="1324" w:type="dxa"/>
          </w:tcPr>
          <w:p w14:paraId="6BC1EBC8" w14:textId="35E6C784" w:rsidR="00924C75" w:rsidRPr="00F71E4C" w:rsidRDefault="00924C75" w:rsidP="00924C75">
            <w:pPr>
              <w:pStyle w:val="Indent1"/>
            </w:pPr>
            <w:r w:rsidRPr="00F71E4C">
              <w:t>October 8</w:t>
            </w:r>
          </w:p>
        </w:tc>
        <w:tc>
          <w:tcPr>
            <w:tcW w:w="1643" w:type="dxa"/>
          </w:tcPr>
          <w:p w14:paraId="097F5251" w14:textId="7F0E9DBF" w:rsidR="00924C75" w:rsidRDefault="00924C75" w:rsidP="00924C75">
            <w:pPr>
              <w:pStyle w:val="Indent1"/>
            </w:pPr>
            <w:r>
              <w:t xml:space="preserve">25B </w:t>
            </w:r>
          </w:p>
        </w:tc>
        <w:tc>
          <w:tcPr>
            <w:tcW w:w="2016" w:type="dxa"/>
            <w:vAlign w:val="center"/>
          </w:tcPr>
          <w:p w14:paraId="7485AE3C" w14:textId="291844A2" w:rsidR="00924C75" w:rsidRDefault="00924C75" w:rsidP="00924C75">
            <w:pPr>
              <w:pStyle w:val="Indent1"/>
            </w:pPr>
            <w:proofErr w:type="spellStart"/>
            <w:r>
              <w:t>Muchalat</w:t>
            </w:r>
            <w:proofErr w:type="spellEnd"/>
            <w:r>
              <w:t>/</w:t>
            </w:r>
            <w:proofErr w:type="spellStart"/>
            <w:r>
              <w:t>Tlupana</w:t>
            </w:r>
            <w:proofErr w:type="spellEnd"/>
          </w:p>
        </w:tc>
        <w:tc>
          <w:tcPr>
            <w:tcW w:w="2213" w:type="dxa"/>
          </w:tcPr>
          <w:p w14:paraId="477A3892" w14:textId="63D33A39" w:rsidR="00924C75" w:rsidRDefault="00924C75" w:rsidP="00924C75">
            <w:pPr>
              <w:pStyle w:val="Indent1"/>
            </w:pPr>
            <w:r>
              <w:t>25-1 to 25-5</w:t>
            </w:r>
          </w:p>
        </w:tc>
        <w:tc>
          <w:tcPr>
            <w:tcW w:w="992" w:type="dxa"/>
            <w:vAlign w:val="center"/>
          </w:tcPr>
          <w:p w14:paraId="36D90DC9" w14:textId="43E47D48" w:rsidR="00924C75" w:rsidRPr="001A145F" w:rsidRDefault="00924C75" w:rsidP="00924C75">
            <w:pPr>
              <w:pStyle w:val="Indent1"/>
              <w:jc w:val="center"/>
            </w:pPr>
            <w:r w:rsidRPr="001A145F">
              <w:t>12.7</w:t>
            </w:r>
          </w:p>
        </w:tc>
        <w:tc>
          <w:tcPr>
            <w:tcW w:w="1388" w:type="dxa"/>
            <w:vAlign w:val="center"/>
          </w:tcPr>
          <w:p w14:paraId="3FF29C34" w14:textId="107E85F6" w:rsidR="00924C75" w:rsidRPr="00EF348C" w:rsidRDefault="00924C75" w:rsidP="00924C75">
            <w:pPr>
              <w:pStyle w:val="Indent1"/>
              <w:jc w:val="center"/>
            </w:pPr>
            <w:r>
              <w:t>28</w:t>
            </w:r>
            <w:r w:rsidRPr="00EF348C">
              <w:t>,000</w:t>
            </w:r>
          </w:p>
        </w:tc>
      </w:tr>
      <w:tr w:rsidR="00924C75" w:rsidRPr="00F71E4C" w14:paraId="28E0CD29" w14:textId="77777777" w:rsidTr="00F53FDF">
        <w:tc>
          <w:tcPr>
            <w:tcW w:w="1324" w:type="dxa"/>
          </w:tcPr>
          <w:p w14:paraId="4683AC29" w14:textId="0F1FAF5E" w:rsidR="00924C75" w:rsidRPr="00F71E4C" w:rsidRDefault="00924C75" w:rsidP="00924C75">
            <w:pPr>
              <w:pStyle w:val="Indent1"/>
            </w:pPr>
            <w:r>
              <w:t>October 8</w:t>
            </w:r>
          </w:p>
        </w:tc>
        <w:tc>
          <w:tcPr>
            <w:tcW w:w="1643" w:type="dxa"/>
          </w:tcPr>
          <w:p w14:paraId="44708C44" w14:textId="0A73965A" w:rsidR="00924C75" w:rsidRPr="00653A35" w:rsidRDefault="00924C75" w:rsidP="00924C75">
            <w:pPr>
              <w:pStyle w:val="Indent1"/>
              <w:rPr>
                <w:bCs/>
              </w:rPr>
            </w:pPr>
            <w:r w:rsidRPr="00653A35">
              <w:rPr>
                <w:bCs/>
              </w:rPr>
              <w:t>23A</w:t>
            </w:r>
          </w:p>
        </w:tc>
        <w:tc>
          <w:tcPr>
            <w:tcW w:w="2016" w:type="dxa"/>
            <w:vAlign w:val="center"/>
          </w:tcPr>
          <w:p w14:paraId="2CC1F1B5" w14:textId="0E54F831" w:rsidR="00924C75" w:rsidRPr="00653A35" w:rsidRDefault="00924C75" w:rsidP="00924C75">
            <w:pPr>
              <w:pStyle w:val="Indent1"/>
              <w:rPr>
                <w:bCs/>
              </w:rPr>
            </w:pPr>
            <w:r w:rsidRPr="00653A35">
              <w:rPr>
                <w:bCs/>
              </w:rPr>
              <w:t>Southeast Barkley Sound</w:t>
            </w:r>
          </w:p>
        </w:tc>
        <w:tc>
          <w:tcPr>
            <w:tcW w:w="2213" w:type="dxa"/>
          </w:tcPr>
          <w:p w14:paraId="276280E6" w14:textId="74B1CE27" w:rsidR="00924C75" w:rsidRPr="00653A35" w:rsidRDefault="00924C75" w:rsidP="00924C75">
            <w:pPr>
              <w:pStyle w:val="Indent1"/>
              <w:rPr>
                <w:bCs/>
              </w:rPr>
            </w:pPr>
            <w:r w:rsidRPr="00653A35">
              <w:rPr>
                <w:bCs/>
                <w:color w:val="000000"/>
                <w:szCs w:val="24"/>
              </w:rPr>
              <w:t xml:space="preserve">23-3, </w:t>
            </w:r>
            <w:proofErr w:type="spellStart"/>
            <w:r w:rsidRPr="00653A35">
              <w:rPr>
                <w:bCs/>
                <w:color w:val="000000"/>
                <w:szCs w:val="24"/>
              </w:rPr>
              <w:t>ptn</w:t>
            </w:r>
            <w:proofErr w:type="spellEnd"/>
            <w:r w:rsidRPr="00653A35">
              <w:rPr>
                <w:bCs/>
                <w:color w:val="000000"/>
                <w:szCs w:val="24"/>
              </w:rPr>
              <w:t xml:space="preserve">. 23-5, </w:t>
            </w:r>
            <w:proofErr w:type="spellStart"/>
            <w:r w:rsidRPr="00653A35">
              <w:rPr>
                <w:bCs/>
                <w:color w:val="000000"/>
                <w:szCs w:val="24"/>
              </w:rPr>
              <w:t>ptn</w:t>
            </w:r>
            <w:proofErr w:type="spellEnd"/>
            <w:r w:rsidRPr="00653A35">
              <w:rPr>
                <w:bCs/>
                <w:color w:val="000000"/>
                <w:szCs w:val="24"/>
              </w:rPr>
              <w:t>. 23-6</w:t>
            </w:r>
          </w:p>
        </w:tc>
        <w:tc>
          <w:tcPr>
            <w:tcW w:w="992" w:type="dxa"/>
            <w:vAlign w:val="center"/>
          </w:tcPr>
          <w:p w14:paraId="08F7D0B9" w14:textId="0F74E3FC" w:rsidR="00924C75" w:rsidRPr="00653A35" w:rsidRDefault="00653A35" w:rsidP="00924C75">
            <w:pPr>
              <w:pStyle w:val="Indent1"/>
              <w:jc w:val="center"/>
              <w:rPr>
                <w:bCs/>
              </w:rPr>
            </w:pPr>
            <w:r w:rsidRPr="00653A35">
              <w:rPr>
                <w:bCs/>
              </w:rPr>
              <w:t>7.2</w:t>
            </w:r>
          </w:p>
        </w:tc>
        <w:tc>
          <w:tcPr>
            <w:tcW w:w="1388" w:type="dxa"/>
            <w:vAlign w:val="center"/>
          </w:tcPr>
          <w:p w14:paraId="260F0287" w14:textId="296A9C79" w:rsidR="00924C75" w:rsidRPr="00653A35" w:rsidRDefault="00924C75" w:rsidP="00924C75">
            <w:pPr>
              <w:pStyle w:val="Indent1"/>
              <w:jc w:val="center"/>
              <w:rPr>
                <w:bCs/>
              </w:rPr>
            </w:pPr>
            <w:r w:rsidRPr="00653A35">
              <w:rPr>
                <w:bCs/>
              </w:rPr>
              <w:t>16,000</w:t>
            </w:r>
          </w:p>
        </w:tc>
      </w:tr>
      <w:tr w:rsidR="00924C75" w:rsidRPr="00F71E4C" w14:paraId="760675E9" w14:textId="77777777" w:rsidTr="00F53FDF">
        <w:tc>
          <w:tcPr>
            <w:tcW w:w="7196" w:type="dxa"/>
            <w:gridSpan w:val="4"/>
            <w:tcBorders>
              <w:bottom w:val="single" w:sz="4" w:space="0" w:color="auto"/>
            </w:tcBorders>
          </w:tcPr>
          <w:p w14:paraId="0560248A" w14:textId="77777777" w:rsidR="00924C75" w:rsidRPr="00F71E4C" w:rsidRDefault="00924C75" w:rsidP="00924C75">
            <w:pPr>
              <w:pStyle w:val="Indent1"/>
              <w:rPr>
                <w:b/>
              </w:rPr>
            </w:pPr>
            <w:r w:rsidRPr="00F71E4C">
              <w:rPr>
                <w:b/>
              </w:rPr>
              <w:t>WCVI Total</w:t>
            </w:r>
          </w:p>
        </w:tc>
        <w:tc>
          <w:tcPr>
            <w:tcW w:w="992" w:type="dxa"/>
            <w:tcBorders>
              <w:bottom w:val="single" w:sz="4" w:space="0" w:color="auto"/>
            </w:tcBorders>
            <w:vAlign w:val="center"/>
          </w:tcPr>
          <w:p w14:paraId="54668113" w14:textId="6FA3DDD8" w:rsidR="00924C75" w:rsidRPr="00F71E4C" w:rsidRDefault="00653A35" w:rsidP="00924C75">
            <w:pPr>
              <w:pStyle w:val="Indent1"/>
              <w:jc w:val="center"/>
              <w:rPr>
                <w:b/>
              </w:rPr>
            </w:pPr>
            <w:r>
              <w:rPr>
                <w:b/>
              </w:rPr>
              <w:t>43.5</w:t>
            </w:r>
          </w:p>
        </w:tc>
        <w:tc>
          <w:tcPr>
            <w:tcW w:w="1388" w:type="dxa"/>
            <w:tcBorders>
              <w:bottom w:val="single" w:sz="4" w:space="0" w:color="auto"/>
            </w:tcBorders>
            <w:vAlign w:val="center"/>
          </w:tcPr>
          <w:p w14:paraId="7B72968C" w14:textId="6759652A" w:rsidR="00924C75" w:rsidRPr="00F71E4C" w:rsidRDefault="00924C75" w:rsidP="00924C75">
            <w:pPr>
              <w:pStyle w:val="Indent1"/>
              <w:jc w:val="center"/>
              <w:rPr>
                <w:b/>
              </w:rPr>
            </w:pPr>
            <w:r>
              <w:rPr>
                <w:b/>
              </w:rPr>
              <w:t>96,000</w:t>
            </w:r>
          </w:p>
        </w:tc>
      </w:tr>
      <w:tr w:rsidR="00924C75" w:rsidRPr="00F71E4C" w14:paraId="1B84D93B" w14:textId="77777777" w:rsidTr="00F53FDF">
        <w:tc>
          <w:tcPr>
            <w:tcW w:w="7196" w:type="dxa"/>
            <w:gridSpan w:val="4"/>
            <w:shd w:val="pct90" w:color="auto" w:fill="auto"/>
          </w:tcPr>
          <w:p w14:paraId="70E671FD" w14:textId="77777777" w:rsidR="00924C75" w:rsidRPr="00F71E4C" w:rsidRDefault="00924C75" w:rsidP="00924C75">
            <w:pPr>
              <w:pStyle w:val="Indent1"/>
              <w:rPr>
                <w:b/>
              </w:rPr>
            </w:pPr>
            <w:r w:rsidRPr="00F71E4C">
              <w:rPr>
                <w:b/>
                <w:color w:val="FFFFFF" w:themeColor="background1"/>
              </w:rPr>
              <w:t>Coastwide Commercial Total Allowable Catch</w:t>
            </w:r>
          </w:p>
        </w:tc>
        <w:tc>
          <w:tcPr>
            <w:tcW w:w="992" w:type="dxa"/>
            <w:shd w:val="pct90" w:color="auto" w:fill="auto"/>
            <w:vAlign w:val="center"/>
          </w:tcPr>
          <w:p w14:paraId="53AFEAF9" w14:textId="51099C9F" w:rsidR="00924C75" w:rsidRPr="00F71E4C" w:rsidRDefault="00924C75" w:rsidP="00924C75">
            <w:pPr>
              <w:pStyle w:val="Indent1"/>
              <w:jc w:val="center"/>
              <w:rPr>
                <w:b/>
                <w:color w:val="FFFFFF" w:themeColor="background1"/>
              </w:rPr>
            </w:pPr>
            <w:r>
              <w:rPr>
                <w:b/>
                <w:color w:val="FFFFFF" w:themeColor="background1"/>
              </w:rPr>
              <w:t>616.9</w:t>
            </w:r>
          </w:p>
        </w:tc>
        <w:tc>
          <w:tcPr>
            <w:tcW w:w="1388" w:type="dxa"/>
            <w:shd w:val="pct90" w:color="auto" w:fill="auto"/>
            <w:vAlign w:val="center"/>
          </w:tcPr>
          <w:p w14:paraId="1ED63A3C" w14:textId="2D8AA77C" w:rsidR="00924C75" w:rsidRPr="00F71E4C" w:rsidRDefault="00924C75" w:rsidP="00924C75">
            <w:pPr>
              <w:pStyle w:val="Indent1"/>
              <w:jc w:val="center"/>
              <w:rPr>
                <w:b/>
                <w:color w:val="FFFFFF" w:themeColor="background1"/>
              </w:rPr>
            </w:pPr>
            <w:r>
              <w:rPr>
                <w:b/>
                <w:color w:val="FFFFFF" w:themeColor="background1"/>
              </w:rPr>
              <w:t>1,360,000</w:t>
            </w:r>
          </w:p>
        </w:tc>
      </w:tr>
    </w:tbl>
    <w:p w14:paraId="66BBE5EC" w14:textId="77777777" w:rsidR="0035499D" w:rsidRDefault="00A25276" w:rsidP="00C0242F">
      <w:pPr>
        <w:pStyle w:val="Indent1"/>
        <w:rPr>
          <w:i/>
        </w:rPr>
      </w:pPr>
      <w:r w:rsidRPr="00F71E4C">
        <w:rPr>
          <w:i/>
        </w:rPr>
        <w:t>*</w:t>
      </w:r>
      <w:r w:rsidR="00372B37" w:rsidRPr="00F71E4C">
        <w:rPr>
          <w:i/>
        </w:rPr>
        <w:t>All weights are in split pounds</w:t>
      </w:r>
      <w:r w:rsidR="00366911" w:rsidRPr="00F71E4C">
        <w:rPr>
          <w:i/>
        </w:rPr>
        <w:t xml:space="preserve"> or split </w:t>
      </w:r>
      <w:proofErr w:type="spellStart"/>
      <w:r w:rsidR="00366911" w:rsidRPr="00F71E4C">
        <w:rPr>
          <w:i/>
        </w:rPr>
        <w:t>tonnes</w:t>
      </w:r>
      <w:proofErr w:type="spellEnd"/>
      <w:r w:rsidR="00372B37" w:rsidRPr="00F71E4C">
        <w:rPr>
          <w:i/>
        </w:rPr>
        <w:t>.</w:t>
      </w:r>
    </w:p>
    <w:p w14:paraId="3B0DBECD" w14:textId="77777777" w:rsidR="00372B37" w:rsidRPr="00F71E4C" w:rsidRDefault="00C0242F" w:rsidP="00C0242F">
      <w:pPr>
        <w:pStyle w:val="Indent1"/>
        <w:spacing w:before="0"/>
        <w:rPr>
          <w:i/>
        </w:rPr>
      </w:pPr>
      <w:r w:rsidRPr="00F71E4C">
        <w:rPr>
          <w:i/>
        </w:rPr>
        <w:t xml:space="preserve">Quota amounts in </w:t>
      </w:r>
      <w:r w:rsidRPr="00F71E4C">
        <w:rPr>
          <w:b/>
          <w:i/>
        </w:rPr>
        <w:t>bold</w:t>
      </w:r>
      <w:r w:rsidRPr="00F71E4C">
        <w:rPr>
          <w:i/>
        </w:rPr>
        <w:t xml:space="preserve"> have changed from last season.</w:t>
      </w:r>
      <w:r w:rsidR="00372B37" w:rsidRPr="00F71E4C">
        <w:rPr>
          <w:i/>
        </w:rPr>
        <w:t xml:space="preserve"> </w:t>
      </w:r>
    </w:p>
    <w:p w14:paraId="195D8761" w14:textId="77777777" w:rsidR="00EB67C1" w:rsidRPr="00F71E4C" w:rsidRDefault="00EB67C1" w:rsidP="00EB67C1">
      <w:pPr>
        <w:pStyle w:val="Indent1"/>
      </w:pPr>
      <w:r w:rsidRPr="00F71E4C">
        <w:t>Note:</w:t>
      </w:r>
    </w:p>
    <w:p w14:paraId="341F63F7" w14:textId="77777777" w:rsidR="00EB67C1" w:rsidRPr="00F71E4C" w:rsidRDefault="00EB67C1" w:rsidP="00EB67C1">
      <w:pPr>
        <w:pStyle w:val="ListNumber"/>
      </w:pPr>
      <w:r w:rsidRPr="00F71E4C">
        <w:t>Vessel masters must ensure there is quota remaining in a Quota Manag</w:t>
      </w:r>
      <w:r w:rsidR="0082369C" w:rsidRPr="00F71E4C">
        <w:t>ement Area prior to, and during</w:t>
      </w:r>
      <w:r w:rsidRPr="00F71E4C">
        <w:t xml:space="preserve"> fishing in that area.  This is particularly important on the final days of fishing when it may be necessary for a vessel to change Quota Management Areas mid-day once the area quota is attained.  </w:t>
      </w:r>
    </w:p>
    <w:p w14:paraId="334AB866" w14:textId="77777777" w:rsidR="008416F8" w:rsidRPr="00F71E4C" w:rsidRDefault="00EB67C1" w:rsidP="002237C5">
      <w:pPr>
        <w:pStyle w:val="ListNumber"/>
      </w:pPr>
      <w:r w:rsidRPr="00F71E4C">
        <w:t>Any area quota overruns may be deducted from the next year’s Quota Management Area quota.</w:t>
      </w:r>
    </w:p>
    <w:p w14:paraId="5490E756" w14:textId="065A758F" w:rsidR="008700D3" w:rsidRPr="00F71E4C" w:rsidRDefault="00EB67C1" w:rsidP="000501F7">
      <w:pPr>
        <w:pStyle w:val="Heading2"/>
      </w:pPr>
      <w:bookmarkStart w:id="116" w:name="_Toc107404358"/>
      <w:r w:rsidRPr="00F71E4C">
        <w:t>Fallback Quota</w:t>
      </w:r>
      <w:bookmarkEnd w:id="116"/>
    </w:p>
    <w:p w14:paraId="5607B69E" w14:textId="5BD39F58" w:rsidR="00EB67C1" w:rsidRPr="00F71E4C" w:rsidRDefault="0063072F" w:rsidP="008416F8">
      <w:pPr>
        <w:pStyle w:val="ListNumber"/>
        <w:numPr>
          <w:ilvl w:val="0"/>
          <w:numId w:val="0"/>
        </w:numPr>
      </w:pPr>
      <w:r w:rsidRPr="00C17BFC">
        <w:t>For the 202</w:t>
      </w:r>
      <w:r w:rsidR="007E2D1C" w:rsidRPr="00C17BFC">
        <w:t>2</w:t>
      </w:r>
      <w:r w:rsidR="00EB67C1" w:rsidRPr="00C17BFC">
        <w:t xml:space="preserve"> season</w:t>
      </w:r>
      <w:r w:rsidR="0082369C" w:rsidRPr="00C17BFC">
        <w:t>,</w:t>
      </w:r>
      <w:r w:rsidR="00EB67C1" w:rsidRPr="00C17BFC">
        <w:t xml:space="preserve"> fallback </w:t>
      </w:r>
      <w:r w:rsidR="0003739D" w:rsidRPr="00C17BFC">
        <w:t>quota has</w:t>
      </w:r>
      <w:r w:rsidR="00681304" w:rsidRPr="00C17BFC">
        <w:t xml:space="preserve"> been set aside in </w:t>
      </w:r>
      <w:r w:rsidR="00111817" w:rsidRPr="00C17BFC">
        <w:t>the Central Coast, East Coast of Vancouver Island</w:t>
      </w:r>
      <w:r w:rsidR="00681304" w:rsidRPr="00C17BFC">
        <w:t xml:space="preserve"> </w:t>
      </w:r>
      <w:r w:rsidR="00111817" w:rsidRPr="00C17BFC">
        <w:t xml:space="preserve">and West Coast of Vancouver Island </w:t>
      </w:r>
      <w:r w:rsidR="006D0C73" w:rsidRPr="00C17BFC">
        <w:t>licence area</w:t>
      </w:r>
      <w:r w:rsidR="009972F1" w:rsidRPr="00C17BFC">
        <w:t>s</w:t>
      </w:r>
      <w:r w:rsidR="00EB67C1" w:rsidRPr="00C17BFC">
        <w:t>.</w:t>
      </w:r>
    </w:p>
    <w:p w14:paraId="00F5A637" w14:textId="227B86F0" w:rsidR="00C1629C" w:rsidRDefault="00EB67C1" w:rsidP="0003739D">
      <w:pPr>
        <w:pStyle w:val="ListNumber"/>
        <w:numPr>
          <w:ilvl w:val="0"/>
          <w:numId w:val="0"/>
        </w:numPr>
      </w:pPr>
      <w:r w:rsidRPr="00F71E4C">
        <w:t>The use of fallback quota will be considered by DFO only if recommended in writing by the</w:t>
      </w:r>
      <w:r w:rsidR="008416F8" w:rsidRPr="00F71E4C">
        <w:t xml:space="preserve"> </w:t>
      </w:r>
      <w:r w:rsidRPr="00F71E4C">
        <w:t>Pacific Sea Cucumber Harvesters Association. For more information on fallback quota and</w:t>
      </w:r>
      <w:r w:rsidR="008416F8" w:rsidRPr="00F71E4C">
        <w:t xml:space="preserve"> </w:t>
      </w:r>
      <w:r w:rsidRPr="00F71E4C">
        <w:t>how it is calculated please see Appendix 14.</w:t>
      </w:r>
    </w:p>
    <w:p w14:paraId="69274E97" w14:textId="77777777" w:rsidR="009972F1" w:rsidRPr="009972F1" w:rsidRDefault="009972F1" w:rsidP="0003739D">
      <w:pPr>
        <w:pStyle w:val="ListNumber"/>
        <w:numPr>
          <w:ilvl w:val="0"/>
          <w:numId w:val="0"/>
        </w:numPr>
        <w:rPr>
          <w:i/>
        </w:rPr>
      </w:pPr>
    </w:p>
    <w:tbl>
      <w:tblPr>
        <w:tblStyle w:val="TableGrid"/>
        <w:tblW w:w="0" w:type="auto"/>
        <w:tblInd w:w="720" w:type="dxa"/>
        <w:tblLook w:val="04A0" w:firstRow="1" w:lastRow="0" w:firstColumn="1" w:lastColumn="0" w:noHBand="0" w:noVBand="1"/>
      </w:tblPr>
      <w:tblGrid>
        <w:gridCol w:w="1344"/>
        <w:gridCol w:w="2976"/>
        <w:gridCol w:w="2154"/>
        <w:gridCol w:w="2156"/>
      </w:tblGrid>
      <w:tr w:rsidR="006D0C73" w:rsidRPr="00F71E4C" w14:paraId="690B50E2" w14:textId="77777777" w:rsidTr="006D0C73">
        <w:tc>
          <w:tcPr>
            <w:tcW w:w="8630" w:type="dxa"/>
            <w:gridSpan w:val="4"/>
          </w:tcPr>
          <w:p w14:paraId="06D9B542" w14:textId="593B99A2" w:rsidR="006D0C73" w:rsidRPr="00F71E4C" w:rsidRDefault="0048769D" w:rsidP="006D0C73">
            <w:pPr>
              <w:pStyle w:val="ListNumber"/>
              <w:numPr>
                <w:ilvl w:val="0"/>
                <w:numId w:val="0"/>
              </w:numPr>
              <w:jc w:val="center"/>
              <w:rPr>
                <w:b/>
              </w:rPr>
            </w:pPr>
            <w:r>
              <w:rPr>
                <w:b/>
              </w:rPr>
              <w:t>202</w:t>
            </w:r>
            <w:r w:rsidR="007E2D1C">
              <w:rPr>
                <w:b/>
              </w:rPr>
              <w:t>2</w:t>
            </w:r>
            <w:r w:rsidR="006D0C73" w:rsidRPr="00F71E4C">
              <w:rPr>
                <w:b/>
              </w:rPr>
              <w:t xml:space="preserve"> Fallback Quota in</w:t>
            </w:r>
            <w:r w:rsidR="006D0C73">
              <w:rPr>
                <w:b/>
              </w:rPr>
              <w:t xml:space="preserve"> Central</w:t>
            </w:r>
            <w:r w:rsidR="006D0C73" w:rsidRPr="00F71E4C">
              <w:rPr>
                <w:b/>
              </w:rPr>
              <w:t xml:space="preserve"> Coast Licence Area</w:t>
            </w:r>
          </w:p>
        </w:tc>
      </w:tr>
      <w:tr w:rsidR="006D0C73" w:rsidRPr="00F71E4C" w14:paraId="745482B6" w14:textId="77777777" w:rsidTr="006D0C73">
        <w:tc>
          <w:tcPr>
            <w:tcW w:w="4320" w:type="dxa"/>
            <w:gridSpan w:val="2"/>
          </w:tcPr>
          <w:p w14:paraId="722AD8DF" w14:textId="77777777" w:rsidR="006D0C73" w:rsidRPr="00F71E4C" w:rsidRDefault="006D0C73" w:rsidP="006D0C73">
            <w:pPr>
              <w:pStyle w:val="ListNumber"/>
              <w:numPr>
                <w:ilvl w:val="0"/>
                <w:numId w:val="0"/>
              </w:numPr>
              <w:jc w:val="center"/>
              <w:rPr>
                <w:b/>
              </w:rPr>
            </w:pPr>
            <w:r w:rsidRPr="00F71E4C">
              <w:rPr>
                <w:b/>
              </w:rPr>
              <w:t>Quota Management Area</w:t>
            </w:r>
          </w:p>
        </w:tc>
        <w:tc>
          <w:tcPr>
            <w:tcW w:w="2154" w:type="dxa"/>
          </w:tcPr>
          <w:p w14:paraId="70CEDCFE" w14:textId="77777777" w:rsidR="006D0C73" w:rsidRPr="00F71E4C" w:rsidRDefault="006D0C73" w:rsidP="006D0C73">
            <w:pPr>
              <w:pStyle w:val="ListNumber"/>
              <w:numPr>
                <w:ilvl w:val="0"/>
                <w:numId w:val="0"/>
              </w:numPr>
              <w:jc w:val="center"/>
              <w:rPr>
                <w:b/>
              </w:rPr>
            </w:pPr>
            <w:r w:rsidRPr="001A145F">
              <w:rPr>
                <w:b/>
              </w:rPr>
              <w:t>Description</w:t>
            </w:r>
          </w:p>
          <w:p w14:paraId="4B00F163" w14:textId="77777777" w:rsidR="006D0C73" w:rsidRPr="00F71E4C" w:rsidRDefault="006D0C73" w:rsidP="006D0C73">
            <w:pPr>
              <w:pStyle w:val="ListNumber"/>
              <w:numPr>
                <w:ilvl w:val="0"/>
                <w:numId w:val="0"/>
              </w:numPr>
              <w:jc w:val="center"/>
              <w:rPr>
                <w:b/>
              </w:rPr>
            </w:pPr>
            <w:r w:rsidRPr="00F71E4C">
              <w:rPr>
                <w:b/>
              </w:rPr>
              <w:t>(by Subarea)</w:t>
            </w:r>
          </w:p>
        </w:tc>
        <w:tc>
          <w:tcPr>
            <w:tcW w:w="2156" w:type="dxa"/>
          </w:tcPr>
          <w:p w14:paraId="7E393934" w14:textId="77777777" w:rsidR="006D0C73" w:rsidRPr="00F71E4C" w:rsidRDefault="006D0C73" w:rsidP="006D0C73">
            <w:pPr>
              <w:pStyle w:val="ListNumber"/>
              <w:numPr>
                <w:ilvl w:val="0"/>
                <w:numId w:val="0"/>
              </w:numPr>
              <w:jc w:val="center"/>
              <w:rPr>
                <w:b/>
              </w:rPr>
            </w:pPr>
            <w:r w:rsidRPr="00F71E4C">
              <w:rPr>
                <w:b/>
              </w:rPr>
              <w:t>Fallback Quota (lb.)*</w:t>
            </w:r>
          </w:p>
        </w:tc>
      </w:tr>
      <w:tr w:rsidR="006D0C73" w:rsidRPr="00F71E4C" w14:paraId="3C814FE4" w14:textId="77777777" w:rsidTr="006D0C73">
        <w:tc>
          <w:tcPr>
            <w:tcW w:w="1344" w:type="dxa"/>
          </w:tcPr>
          <w:p w14:paraId="69278603" w14:textId="0E20C28F" w:rsidR="006D0C73" w:rsidRPr="00F71E4C" w:rsidRDefault="00111817" w:rsidP="006D0C73">
            <w:pPr>
              <w:pStyle w:val="ListNumber"/>
              <w:numPr>
                <w:ilvl w:val="0"/>
                <w:numId w:val="0"/>
              </w:numPr>
              <w:jc w:val="center"/>
            </w:pPr>
            <w:r>
              <w:t>7Q</w:t>
            </w:r>
          </w:p>
        </w:tc>
        <w:tc>
          <w:tcPr>
            <w:tcW w:w="2976" w:type="dxa"/>
          </w:tcPr>
          <w:p w14:paraId="2C4D11B5" w14:textId="66F63B00" w:rsidR="006D0C73" w:rsidRPr="00F71E4C" w:rsidRDefault="00111817" w:rsidP="006D0C73">
            <w:pPr>
              <w:pStyle w:val="ListNumber"/>
              <w:numPr>
                <w:ilvl w:val="0"/>
                <w:numId w:val="0"/>
              </w:numPr>
            </w:pPr>
            <w:r>
              <w:t>Seaforth Channel</w:t>
            </w:r>
          </w:p>
        </w:tc>
        <w:tc>
          <w:tcPr>
            <w:tcW w:w="2154" w:type="dxa"/>
          </w:tcPr>
          <w:p w14:paraId="23AD26D2" w14:textId="3F513B04" w:rsidR="006D0C73" w:rsidRPr="00F71E4C" w:rsidRDefault="00111817" w:rsidP="006D0C73">
            <w:pPr>
              <w:pStyle w:val="ListNumber"/>
              <w:numPr>
                <w:ilvl w:val="0"/>
                <w:numId w:val="0"/>
              </w:numPr>
              <w:jc w:val="left"/>
            </w:pPr>
            <w:proofErr w:type="spellStart"/>
            <w:r w:rsidRPr="005576B2">
              <w:rPr>
                <w:color w:val="000000"/>
                <w:szCs w:val="24"/>
              </w:rPr>
              <w:t>Ptn</w:t>
            </w:r>
            <w:proofErr w:type="spellEnd"/>
            <w:r w:rsidRPr="005576B2">
              <w:rPr>
                <w:color w:val="000000"/>
                <w:szCs w:val="24"/>
              </w:rPr>
              <w:t>. 7-2 and 7-3; 7-12, 7-20 to 7-22, 7-24 and 7-32</w:t>
            </w:r>
          </w:p>
        </w:tc>
        <w:tc>
          <w:tcPr>
            <w:tcW w:w="2156" w:type="dxa"/>
          </w:tcPr>
          <w:p w14:paraId="44B70681" w14:textId="40B1FA91" w:rsidR="006D0C73" w:rsidRPr="00F71E4C" w:rsidRDefault="00111817" w:rsidP="006D0C73">
            <w:pPr>
              <w:pStyle w:val="ListNumber"/>
              <w:numPr>
                <w:ilvl w:val="0"/>
                <w:numId w:val="0"/>
              </w:numPr>
              <w:jc w:val="center"/>
            </w:pPr>
            <w:r>
              <w:t>16,233</w:t>
            </w:r>
          </w:p>
        </w:tc>
      </w:tr>
      <w:tr w:rsidR="00111817" w:rsidRPr="00F71E4C" w14:paraId="5B8201C9" w14:textId="77777777" w:rsidTr="006D0C73">
        <w:tc>
          <w:tcPr>
            <w:tcW w:w="1344" w:type="dxa"/>
          </w:tcPr>
          <w:p w14:paraId="35F40749" w14:textId="49FB2600" w:rsidR="00111817" w:rsidRDefault="00111817" w:rsidP="006D0C73">
            <w:pPr>
              <w:pStyle w:val="ListNumber"/>
              <w:numPr>
                <w:ilvl w:val="0"/>
                <w:numId w:val="0"/>
              </w:numPr>
              <w:jc w:val="center"/>
            </w:pPr>
            <w:r>
              <w:lastRenderedPageBreak/>
              <w:t>10A</w:t>
            </w:r>
          </w:p>
        </w:tc>
        <w:tc>
          <w:tcPr>
            <w:tcW w:w="2976" w:type="dxa"/>
          </w:tcPr>
          <w:p w14:paraId="6DC84DCA" w14:textId="66C16455" w:rsidR="00111817" w:rsidRDefault="00111817" w:rsidP="006D0C73">
            <w:pPr>
              <w:pStyle w:val="ListNumber"/>
              <w:numPr>
                <w:ilvl w:val="0"/>
                <w:numId w:val="0"/>
              </w:numPr>
            </w:pPr>
            <w:r>
              <w:t>Smith Inlet</w:t>
            </w:r>
          </w:p>
        </w:tc>
        <w:tc>
          <w:tcPr>
            <w:tcW w:w="2154" w:type="dxa"/>
          </w:tcPr>
          <w:p w14:paraId="385D2928" w14:textId="1B9B7F1D" w:rsidR="00111817" w:rsidRPr="00F71E4C" w:rsidRDefault="00111817" w:rsidP="006D0C73">
            <w:pPr>
              <w:pStyle w:val="ListNumber"/>
              <w:numPr>
                <w:ilvl w:val="0"/>
                <w:numId w:val="0"/>
              </w:numPr>
            </w:pPr>
            <w:r w:rsidRPr="00C030FF">
              <w:rPr>
                <w:color w:val="000000"/>
                <w:szCs w:val="24"/>
              </w:rPr>
              <w:t xml:space="preserve">10-3, 10-4, </w:t>
            </w:r>
            <w:proofErr w:type="spellStart"/>
            <w:r>
              <w:rPr>
                <w:color w:val="000000"/>
                <w:szCs w:val="24"/>
              </w:rPr>
              <w:t>ptn</w:t>
            </w:r>
            <w:proofErr w:type="spellEnd"/>
            <w:r>
              <w:rPr>
                <w:color w:val="000000"/>
                <w:szCs w:val="24"/>
              </w:rPr>
              <w:t xml:space="preserve"> of 10-5;</w:t>
            </w:r>
            <w:r w:rsidRPr="00C030FF">
              <w:rPr>
                <w:color w:val="000000"/>
                <w:szCs w:val="24"/>
              </w:rPr>
              <w:t xml:space="preserve"> 10-6 to 10-11, </w:t>
            </w:r>
            <w:proofErr w:type="spellStart"/>
            <w:r w:rsidRPr="00C030FF">
              <w:rPr>
                <w:color w:val="000000"/>
                <w:szCs w:val="24"/>
              </w:rPr>
              <w:t>ptn</w:t>
            </w:r>
            <w:proofErr w:type="spellEnd"/>
            <w:r w:rsidRPr="00C030FF">
              <w:rPr>
                <w:color w:val="000000"/>
                <w:szCs w:val="24"/>
              </w:rPr>
              <w:t xml:space="preserve"> of 10-12</w:t>
            </w:r>
          </w:p>
        </w:tc>
        <w:tc>
          <w:tcPr>
            <w:tcW w:w="2156" w:type="dxa"/>
          </w:tcPr>
          <w:p w14:paraId="6900B739" w14:textId="19658F0E" w:rsidR="00111817" w:rsidRDefault="00111817" w:rsidP="006D0C73">
            <w:pPr>
              <w:pStyle w:val="ListNumber"/>
              <w:numPr>
                <w:ilvl w:val="0"/>
                <w:numId w:val="0"/>
              </w:numPr>
              <w:jc w:val="center"/>
            </w:pPr>
            <w:r>
              <w:t>27,762</w:t>
            </w:r>
          </w:p>
        </w:tc>
      </w:tr>
    </w:tbl>
    <w:p w14:paraId="14F3EDB5" w14:textId="725C3FB3" w:rsidR="006D0C73" w:rsidRPr="006D0C73" w:rsidRDefault="006D0C73" w:rsidP="006D0C73">
      <w:pPr>
        <w:pStyle w:val="ListNumber"/>
        <w:numPr>
          <w:ilvl w:val="0"/>
          <w:numId w:val="0"/>
        </w:numPr>
        <w:ind w:left="720"/>
        <w:rPr>
          <w:i/>
        </w:rPr>
      </w:pPr>
      <w:r w:rsidRPr="00F71E4C">
        <w:rPr>
          <w:i/>
        </w:rPr>
        <w:t>*All weights are in split pounds</w:t>
      </w:r>
    </w:p>
    <w:p w14:paraId="27D1D1F0" w14:textId="77777777" w:rsidR="006D0C73" w:rsidRPr="00F71E4C" w:rsidRDefault="006D0C73" w:rsidP="0003739D">
      <w:pPr>
        <w:pStyle w:val="ListNumber"/>
        <w:numPr>
          <w:ilvl w:val="0"/>
          <w:numId w:val="0"/>
        </w:numPr>
      </w:pPr>
    </w:p>
    <w:tbl>
      <w:tblPr>
        <w:tblStyle w:val="TableGrid"/>
        <w:tblW w:w="0" w:type="auto"/>
        <w:tblInd w:w="720" w:type="dxa"/>
        <w:tblLook w:val="04A0" w:firstRow="1" w:lastRow="0" w:firstColumn="1" w:lastColumn="0" w:noHBand="0" w:noVBand="1"/>
      </w:tblPr>
      <w:tblGrid>
        <w:gridCol w:w="1330"/>
        <w:gridCol w:w="2997"/>
        <w:gridCol w:w="2151"/>
        <w:gridCol w:w="2152"/>
      </w:tblGrid>
      <w:tr w:rsidR="00097FF9" w:rsidRPr="00F71E4C" w14:paraId="726D6561" w14:textId="77777777" w:rsidTr="006D0C73">
        <w:tc>
          <w:tcPr>
            <w:tcW w:w="8630" w:type="dxa"/>
            <w:gridSpan w:val="4"/>
          </w:tcPr>
          <w:p w14:paraId="511A20E9" w14:textId="1DA7F3E1" w:rsidR="00097FF9" w:rsidRPr="00F71E4C" w:rsidRDefault="009972F1" w:rsidP="001E7261">
            <w:pPr>
              <w:pStyle w:val="ListNumber"/>
              <w:numPr>
                <w:ilvl w:val="0"/>
                <w:numId w:val="0"/>
              </w:numPr>
              <w:jc w:val="center"/>
              <w:rPr>
                <w:b/>
              </w:rPr>
            </w:pPr>
            <w:r w:rsidRPr="00AA0E9F">
              <w:rPr>
                <w:b/>
              </w:rPr>
              <w:t>202</w:t>
            </w:r>
            <w:r w:rsidR="007E2D1C">
              <w:rPr>
                <w:b/>
              </w:rPr>
              <w:t>2</w:t>
            </w:r>
            <w:r w:rsidR="00097FF9" w:rsidRPr="00AA0E9F">
              <w:rPr>
                <w:b/>
              </w:rPr>
              <w:t xml:space="preserve"> Fallback Quota in ECVI Coast Licence Area</w:t>
            </w:r>
          </w:p>
        </w:tc>
      </w:tr>
      <w:tr w:rsidR="009C09C9" w:rsidRPr="00F71E4C" w14:paraId="5618DA8C" w14:textId="77777777" w:rsidTr="006D0C73">
        <w:tc>
          <w:tcPr>
            <w:tcW w:w="4327" w:type="dxa"/>
            <w:gridSpan w:val="2"/>
          </w:tcPr>
          <w:p w14:paraId="69D7392A" w14:textId="77777777" w:rsidR="009C09C9" w:rsidRPr="00F71E4C" w:rsidRDefault="009C09C9" w:rsidP="001E7261">
            <w:pPr>
              <w:pStyle w:val="ListNumber"/>
              <w:numPr>
                <w:ilvl w:val="0"/>
                <w:numId w:val="0"/>
              </w:numPr>
              <w:jc w:val="center"/>
              <w:rPr>
                <w:b/>
              </w:rPr>
            </w:pPr>
            <w:r w:rsidRPr="00F71E4C">
              <w:rPr>
                <w:b/>
              </w:rPr>
              <w:t>Quota Management Area</w:t>
            </w:r>
          </w:p>
        </w:tc>
        <w:tc>
          <w:tcPr>
            <w:tcW w:w="2151" w:type="dxa"/>
          </w:tcPr>
          <w:p w14:paraId="00B8F513" w14:textId="77777777" w:rsidR="009C09C9" w:rsidRPr="00F71E4C" w:rsidRDefault="009C09C9" w:rsidP="001E7261">
            <w:pPr>
              <w:pStyle w:val="ListNumber"/>
              <w:numPr>
                <w:ilvl w:val="0"/>
                <w:numId w:val="0"/>
              </w:numPr>
              <w:jc w:val="center"/>
              <w:rPr>
                <w:b/>
              </w:rPr>
            </w:pPr>
            <w:r w:rsidRPr="00F71E4C">
              <w:rPr>
                <w:b/>
              </w:rPr>
              <w:t>Description</w:t>
            </w:r>
          </w:p>
          <w:p w14:paraId="529E9432" w14:textId="77777777" w:rsidR="009C09C9" w:rsidRPr="00F71E4C" w:rsidRDefault="009C09C9" w:rsidP="001E7261">
            <w:pPr>
              <w:pStyle w:val="ListNumber"/>
              <w:numPr>
                <w:ilvl w:val="0"/>
                <w:numId w:val="0"/>
              </w:numPr>
              <w:jc w:val="center"/>
              <w:rPr>
                <w:b/>
              </w:rPr>
            </w:pPr>
            <w:r w:rsidRPr="00F71E4C">
              <w:rPr>
                <w:b/>
              </w:rPr>
              <w:t>(by Subarea)</w:t>
            </w:r>
          </w:p>
        </w:tc>
        <w:tc>
          <w:tcPr>
            <w:tcW w:w="2152" w:type="dxa"/>
          </w:tcPr>
          <w:p w14:paraId="28A82825" w14:textId="77777777" w:rsidR="009C09C9" w:rsidRPr="00F71E4C" w:rsidRDefault="009C09C9" w:rsidP="001E7261">
            <w:pPr>
              <w:pStyle w:val="ListNumber"/>
              <w:numPr>
                <w:ilvl w:val="0"/>
                <w:numId w:val="0"/>
              </w:numPr>
              <w:jc w:val="center"/>
              <w:rPr>
                <w:b/>
              </w:rPr>
            </w:pPr>
            <w:r w:rsidRPr="00F71E4C">
              <w:rPr>
                <w:b/>
              </w:rPr>
              <w:t>Fallback Quota (lb.)*</w:t>
            </w:r>
          </w:p>
        </w:tc>
      </w:tr>
      <w:tr w:rsidR="002F69CA" w:rsidRPr="00F71E4C" w14:paraId="3BC32A0D" w14:textId="77777777" w:rsidTr="006D0C73">
        <w:tc>
          <w:tcPr>
            <w:tcW w:w="1330" w:type="dxa"/>
          </w:tcPr>
          <w:p w14:paraId="1285152A" w14:textId="3A1EC6C5" w:rsidR="002F69CA" w:rsidRPr="00F71E4C" w:rsidRDefault="002F69CA" w:rsidP="002F69CA">
            <w:pPr>
              <w:pStyle w:val="ListNumber"/>
              <w:numPr>
                <w:ilvl w:val="0"/>
                <w:numId w:val="0"/>
              </w:numPr>
              <w:jc w:val="center"/>
            </w:pPr>
            <w:r>
              <w:t>11A</w:t>
            </w:r>
          </w:p>
        </w:tc>
        <w:tc>
          <w:tcPr>
            <w:tcW w:w="2997" w:type="dxa"/>
          </w:tcPr>
          <w:p w14:paraId="168999BE" w14:textId="6DB29950" w:rsidR="002F69CA" w:rsidRPr="00F71E4C" w:rsidRDefault="002F69CA" w:rsidP="002F69CA">
            <w:pPr>
              <w:pStyle w:val="ListNumber"/>
              <w:numPr>
                <w:ilvl w:val="0"/>
                <w:numId w:val="0"/>
              </w:numPr>
            </w:pPr>
            <w:r>
              <w:t>Belize Inlet</w:t>
            </w:r>
          </w:p>
        </w:tc>
        <w:tc>
          <w:tcPr>
            <w:tcW w:w="2151" w:type="dxa"/>
          </w:tcPr>
          <w:p w14:paraId="37DBCB51" w14:textId="432B85D8" w:rsidR="002F69CA" w:rsidRPr="00F71E4C" w:rsidRDefault="002F69CA" w:rsidP="002F69CA">
            <w:pPr>
              <w:pStyle w:val="ListNumber"/>
              <w:numPr>
                <w:ilvl w:val="0"/>
                <w:numId w:val="0"/>
              </w:numPr>
              <w:jc w:val="left"/>
            </w:pPr>
            <w:r w:rsidRPr="00F71E4C">
              <w:t>11-4, 11-5, 11-6</w:t>
            </w:r>
          </w:p>
        </w:tc>
        <w:tc>
          <w:tcPr>
            <w:tcW w:w="2152" w:type="dxa"/>
          </w:tcPr>
          <w:p w14:paraId="0613AC3C" w14:textId="373CDACC" w:rsidR="002F69CA" w:rsidRPr="00CD523E" w:rsidRDefault="00CD523E" w:rsidP="002F69CA">
            <w:pPr>
              <w:pStyle w:val="ListNumber"/>
              <w:numPr>
                <w:ilvl w:val="0"/>
                <w:numId w:val="0"/>
              </w:numPr>
              <w:jc w:val="center"/>
            </w:pPr>
            <w:r w:rsidRPr="00CD523E">
              <w:t>12,696</w:t>
            </w:r>
          </w:p>
        </w:tc>
      </w:tr>
      <w:tr w:rsidR="002F69CA" w:rsidRPr="00F71E4C" w14:paraId="48600BF7" w14:textId="77777777" w:rsidTr="006D0C73">
        <w:tc>
          <w:tcPr>
            <w:tcW w:w="1330" w:type="dxa"/>
          </w:tcPr>
          <w:p w14:paraId="0B4CF5D5" w14:textId="4B68AADC" w:rsidR="002F69CA" w:rsidRDefault="002F69CA" w:rsidP="002F69CA">
            <w:pPr>
              <w:pStyle w:val="ListNumber"/>
              <w:numPr>
                <w:ilvl w:val="0"/>
                <w:numId w:val="0"/>
              </w:numPr>
              <w:jc w:val="center"/>
            </w:pPr>
            <w:r>
              <w:t>11B</w:t>
            </w:r>
          </w:p>
        </w:tc>
        <w:tc>
          <w:tcPr>
            <w:tcW w:w="2997" w:type="dxa"/>
          </w:tcPr>
          <w:p w14:paraId="227F9764" w14:textId="3ABB99A1" w:rsidR="002F69CA" w:rsidRDefault="002F69CA" w:rsidP="002F69CA">
            <w:pPr>
              <w:pStyle w:val="ListNumber"/>
              <w:numPr>
                <w:ilvl w:val="0"/>
                <w:numId w:val="0"/>
              </w:numPr>
            </w:pPr>
            <w:r>
              <w:t>Seymour Inlet</w:t>
            </w:r>
          </w:p>
        </w:tc>
        <w:tc>
          <w:tcPr>
            <w:tcW w:w="2151" w:type="dxa"/>
          </w:tcPr>
          <w:p w14:paraId="13DF94D9" w14:textId="77BA791F" w:rsidR="002F69CA" w:rsidRPr="00F71E4C" w:rsidRDefault="002F69CA" w:rsidP="002F69CA">
            <w:pPr>
              <w:pStyle w:val="ListNumber"/>
              <w:numPr>
                <w:ilvl w:val="0"/>
                <w:numId w:val="0"/>
              </w:numPr>
            </w:pPr>
            <w:r w:rsidRPr="00F71E4C">
              <w:t>11-3, 11-10</w:t>
            </w:r>
          </w:p>
        </w:tc>
        <w:tc>
          <w:tcPr>
            <w:tcW w:w="2152" w:type="dxa"/>
          </w:tcPr>
          <w:p w14:paraId="035E012F" w14:textId="6B73512F" w:rsidR="002F69CA" w:rsidRPr="00CD523E" w:rsidRDefault="00CD523E" w:rsidP="002F69CA">
            <w:pPr>
              <w:pStyle w:val="ListNumber"/>
              <w:numPr>
                <w:ilvl w:val="0"/>
                <w:numId w:val="0"/>
              </w:numPr>
              <w:jc w:val="center"/>
            </w:pPr>
            <w:r w:rsidRPr="00CD523E">
              <w:t>13,626</w:t>
            </w:r>
          </w:p>
        </w:tc>
      </w:tr>
      <w:tr w:rsidR="00CD523E" w:rsidRPr="00F71E4C" w14:paraId="22AB7543" w14:textId="77777777" w:rsidTr="006D0C73">
        <w:tc>
          <w:tcPr>
            <w:tcW w:w="1330" w:type="dxa"/>
          </w:tcPr>
          <w:p w14:paraId="67A02000" w14:textId="5E0DF5AA" w:rsidR="00CD523E" w:rsidRDefault="00CD523E" w:rsidP="002F69CA">
            <w:pPr>
              <w:pStyle w:val="ListNumber"/>
              <w:numPr>
                <w:ilvl w:val="0"/>
                <w:numId w:val="0"/>
              </w:numPr>
              <w:jc w:val="center"/>
            </w:pPr>
            <w:r>
              <w:t xml:space="preserve">11D </w:t>
            </w:r>
          </w:p>
        </w:tc>
        <w:tc>
          <w:tcPr>
            <w:tcW w:w="2997" w:type="dxa"/>
          </w:tcPr>
          <w:p w14:paraId="04F88BC0" w14:textId="628F2F62" w:rsidR="00CD523E" w:rsidRDefault="00CD523E" w:rsidP="002F69CA">
            <w:pPr>
              <w:pStyle w:val="ListNumber"/>
              <w:numPr>
                <w:ilvl w:val="0"/>
                <w:numId w:val="0"/>
              </w:numPr>
            </w:pPr>
            <w:proofErr w:type="spellStart"/>
            <w:r>
              <w:t>Slingsby</w:t>
            </w:r>
            <w:proofErr w:type="spellEnd"/>
            <w:r>
              <w:t xml:space="preserve"> Channel</w:t>
            </w:r>
          </w:p>
        </w:tc>
        <w:tc>
          <w:tcPr>
            <w:tcW w:w="2151" w:type="dxa"/>
          </w:tcPr>
          <w:p w14:paraId="4E15FFDE" w14:textId="4CC3B73C" w:rsidR="00CD523E" w:rsidRPr="00F71E4C" w:rsidRDefault="00CD523E" w:rsidP="002F69CA">
            <w:pPr>
              <w:pStyle w:val="ListNumber"/>
              <w:numPr>
                <w:ilvl w:val="0"/>
                <w:numId w:val="0"/>
              </w:numPr>
            </w:pPr>
            <w:proofErr w:type="spellStart"/>
            <w:r>
              <w:rPr>
                <w:color w:val="000000"/>
                <w:szCs w:val="24"/>
              </w:rPr>
              <w:t>Ptn</w:t>
            </w:r>
            <w:proofErr w:type="spellEnd"/>
            <w:r>
              <w:rPr>
                <w:color w:val="000000"/>
                <w:szCs w:val="24"/>
              </w:rPr>
              <w:t xml:space="preserve"> of 11-2</w:t>
            </w:r>
          </w:p>
        </w:tc>
        <w:tc>
          <w:tcPr>
            <w:tcW w:w="2152" w:type="dxa"/>
          </w:tcPr>
          <w:p w14:paraId="3D05CD8D" w14:textId="0A17452B" w:rsidR="00CD523E" w:rsidRPr="00CD523E" w:rsidRDefault="00CD523E" w:rsidP="002F69CA">
            <w:pPr>
              <w:pStyle w:val="ListNumber"/>
              <w:numPr>
                <w:ilvl w:val="0"/>
                <w:numId w:val="0"/>
              </w:numPr>
              <w:jc w:val="center"/>
            </w:pPr>
            <w:r w:rsidRPr="00CD523E">
              <w:t>5,598</w:t>
            </w:r>
          </w:p>
        </w:tc>
      </w:tr>
      <w:tr w:rsidR="002F69CA" w:rsidRPr="00F71E4C" w14:paraId="70FCAF5A" w14:textId="77777777" w:rsidTr="006D0C73">
        <w:tc>
          <w:tcPr>
            <w:tcW w:w="1330" w:type="dxa"/>
          </w:tcPr>
          <w:p w14:paraId="3974BBC5" w14:textId="120A2329" w:rsidR="002F69CA" w:rsidRPr="002F69CA" w:rsidRDefault="002F69CA" w:rsidP="002F69CA">
            <w:pPr>
              <w:pStyle w:val="ListNumber"/>
              <w:numPr>
                <w:ilvl w:val="0"/>
                <w:numId w:val="0"/>
              </w:numPr>
              <w:jc w:val="center"/>
            </w:pPr>
            <w:r w:rsidRPr="002F69CA">
              <w:t>15A</w:t>
            </w:r>
          </w:p>
        </w:tc>
        <w:tc>
          <w:tcPr>
            <w:tcW w:w="2997" w:type="dxa"/>
          </w:tcPr>
          <w:p w14:paraId="4E5446E9" w14:textId="29F38D6C" w:rsidR="002F69CA" w:rsidRPr="002F69CA" w:rsidRDefault="002F69CA" w:rsidP="002F69CA">
            <w:pPr>
              <w:pStyle w:val="ListNumber"/>
              <w:numPr>
                <w:ilvl w:val="0"/>
                <w:numId w:val="0"/>
              </w:numPr>
            </w:pPr>
            <w:r w:rsidRPr="002F69CA">
              <w:t>West Redonda</w:t>
            </w:r>
          </w:p>
        </w:tc>
        <w:tc>
          <w:tcPr>
            <w:tcW w:w="2151" w:type="dxa"/>
          </w:tcPr>
          <w:p w14:paraId="12314A64" w14:textId="7F85448B" w:rsidR="002F69CA" w:rsidRPr="002F69CA" w:rsidRDefault="002F69CA" w:rsidP="002F69CA">
            <w:pPr>
              <w:pStyle w:val="ListNumber"/>
              <w:numPr>
                <w:ilvl w:val="0"/>
                <w:numId w:val="0"/>
              </w:numPr>
            </w:pPr>
            <w:proofErr w:type="spellStart"/>
            <w:r w:rsidRPr="002F69CA">
              <w:t>Ptn</w:t>
            </w:r>
            <w:proofErr w:type="spellEnd"/>
            <w:r w:rsidRPr="002F69CA">
              <w:t>. 15-5</w:t>
            </w:r>
          </w:p>
        </w:tc>
        <w:tc>
          <w:tcPr>
            <w:tcW w:w="2152" w:type="dxa"/>
          </w:tcPr>
          <w:p w14:paraId="07FF8778" w14:textId="0B4D19D8" w:rsidR="002F69CA" w:rsidRPr="00CD523E" w:rsidRDefault="00CD523E" w:rsidP="002F69CA">
            <w:pPr>
              <w:pStyle w:val="ListNumber"/>
              <w:numPr>
                <w:ilvl w:val="0"/>
                <w:numId w:val="0"/>
              </w:numPr>
              <w:jc w:val="center"/>
            </w:pPr>
            <w:r w:rsidRPr="00CD523E">
              <w:t>21,364</w:t>
            </w:r>
          </w:p>
        </w:tc>
      </w:tr>
      <w:tr w:rsidR="002F69CA" w:rsidRPr="00F71E4C" w14:paraId="593F0412" w14:textId="77777777" w:rsidTr="006D0C73">
        <w:tc>
          <w:tcPr>
            <w:tcW w:w="1330" w:type="dxa"/>
          </w:tcPr>
          <w:p w14:paraId="6D1F3F75" w14:textId="397E1B42" w:rsidR="002F69CA" w:rsidRPr="002F69CA" w:rsidRDefault="002F69CA" w:rsidP="002F69CA">
            <w:pPr>
              <w:pStyle w:val="ListNumber"/>
              <w:numPr>
                <w:ilvl w:val="0"/>
                <w:numId w:val="0"/>
              </w:numPr>
              <w:jc w:val="center"/>
            </w:pPr>
            <w:r w:rsidRPr="002F69CA">
              <w:t>15B</w:t>
            </w:r>
          </w:p>
        </w:tc>
        <w:tc>
          <w:tcPr>
            <w:tcW w:w="2997" w:type="dxa"/>
          </w:tcPr>
          <w:p w14:paraId="62D254DA" w14:textId="35E89489" w:rsidR="002F69CA" w:rsidRPr="002F69CA" w:rsidRDefault="002F69CA" w:rsidP="002F69CA">
            <w:pPr>
              <w:pStyle w:val="ListNumber"/>
              <w:numPr>
                <w:ilvl w:val="0"/>
                <w:numId w:val="0"/>
              </w:numPr>
            </w:pPr>
            <w:r w:rsidRPr="002F69CA">
              <w:t>East Redonda</w:t>
            </w:r>
          </w:p>
        </w:tc>
        <w:tc>
          <w:tcPr>
            <w:tcW w:w="2151" w:type="dxa"/>
          </w:tcPr>
          <w:p w14:paraId="3A0E1805" w14:textId="36971247" w:rsidR="002F69CA" w:rsidRPr="002F69CA" w:rsidRDefault="002F69CA" w:rsidP="002F69CA">
            <w:pPr>
              <w:pStyle w:val="ListNumber"/>
              <w:numPr>
                <w:ilvl w:val="0"/>
                <w:numId w:val="0"/>
              </w:numPr>
            </w:pPr>
            <w:proofErr w:type="spellStart"/>
            <w:r w:rsidRPr="002F69CA">
              <w:t>Ptn</w:t>
            </w:r>
            <w:proofErr w:type="spellEnd"/>
            <w:r w:rsidRPr="002F69CA">
              <w:t>. 15-5</w:t>
            </w:r>
          </w:p>
        </w:tc>
        <w:tc>
          <w:tcPr>
            <w:tcW w:w="2152" w:type="dxa"/>
          </w:tcPr>
          <w:p w14:paraId="49BC5613" w14:textId="732565B8" w:rsidR="00AA0E9F" w:rsidRPr="00CD523E" w:rsidRDefault="00AA0E9F" w:rsidP="00AA0E9F">
            <w:pPr>
              <w:pStyle w:val="ListNumber"/>
              <w:numPr>
                <w:ilvl w:val="0"/>
                <w:numId w:val="0"/>
              </w:numPr>
              <w:jc w:val="center"/>
            </w:pPr>
            <w:r w:rsidRPr="00CD523E">
              <w:t>25,810</w:t>
            </w:r>
          </w:p>
        </w:tc>
      </w:tr>
      <w:tr w:rsidR="002F69CA" w:rsidRPr="00F71E4C" w14:paraId="0083DF4F" w14:textId="77777777" w:rsidTr="006D0C73">
        <w:tc>
          <w:tcPr>
            <w:tcW w:w="1330" w:type="dxa"/>
          </w:tcPr>
          <w:p w14:paraId="1F9EADD9" w14:textId="41B28891" w:rsidR="002F69CA" w:rsidRPr="002F69CA" w:rsidRDefault="002F69CA" w:rsidP="002F69CA">
            <w:pPr>
              <w:pStyle w:val="ListNumber"/>
              <w:numPr>
                <w:ilvl w:val="0"/>
                <w:numId w:val="0"/>
              </w:numPr>
              <w:jc w:val="center"/>
            </w:pPr>
            <w:r w:rsidRPr="002F69CA">
              <w:t>15C</w:t>
            </w:r>
          </w:p>
        </w:tc>
        <w:tc>
          <w:tcPr>
            <w:tcW w:w="2997" w:type="dxa"/>
          </w:tcPr>
          <w:p w14:paraId="258030C8" w14:textId="792E0355" w:rsidR="002F69CA" w:rsidRPr="002F69CA" w:rsidRDefault="002F69CA" w:rsidP="002F69CA">
            <w:pPr>
              <w:pStyle w:val="ListNumber"/>
              <w:numPr>
                <w:ilvl w:val="0"/>
                <w:numId w:val="0"/>
              </w:numPr>
            </w:pPr>
            <w:r w:rsidRPr="002F69CA">
              <w:t>South Desolation</w:t>
            </w:r>
          </w:p>
        </w:tc>
        <w:tc>
          <w:tcPr>
            <w:tcW w:w="2151" w:type="dxa"/>
          </w:tcPr>
          <w:p w14:paraId="41DC1F0E" w14:textId="7542B9DA" w:rsidR="002F69CA" w:rsidRPr="002F69CA" w:rsidRDefault="002F69CA" w:rsidP="002F69CA">
            <w:pPr>
              <w:pStyle w:val="ListNumber"/>
              <w:numPr>
                <w:ilvl w:val="0"/>
                <w:numId w:val="0"/>
              </w:numPr>
            </w:pPr>
            <w:r w:rsidRPr="002F69CA">
              <w:t xml:space="preserve">15-4, </w:t>
            </w:r>
            <w:proofErr w:type="spellStart"/>
            <w:r w:rsidRPr="002F69CA">
              <w:t>ptn</w:t>
            </w:r>
            <w:proofErr w:type="spellEnd"/>
            <w:r w:rsidRPr="002F69CA">
              <w:t>. 15-5</w:t>
            </w:r>
          </w:p>
        </w:tc>
        <w:tc>
          <w:tcPr>
            <w:tcW w:w="2152" w:type="dxa"/>
          </w:tcPr>
          <w:p w14:paraId="34A030FB" w14:textId="3568CE5F" w:rsidR="002F69CA" w:rsidRPr="00CD523E" w:rsidRDefault="00AA0E9F" w:rsidP="002F69CA">
            <w:pPr>
              <w:pStyle w:val="ListNumber"/>
              <w:numPr>
                <w:ilvl w:val="0"/>
                <w:numId w:val="0"/>
              </w:numPr>
              <w:jc w:val="center"/>
            </w:pPr>
            <w:r w:rsidRPr="00CD523E">
              <w:t>33,683</w:t>
            </w:r>
          </w:p>
        </w:tc>
      </w:tr>
      <w:tr w:rsidR="00AA0E9F" w:rsidRPr="00F71E4C" w14:paraId="4FF68EE8" w14:textId="77777777" w:rsidTr="006D0C73">
        <w:tc>
          <w:tcPr>
            <w:tcW w:w="1330" w:type="dxa"/>
          </w:tcPr>
          <w:p w14:paraId="1A2EAE5F" w14:textId="50354AA1" w:rsidR="00AA0E9F" w:rsidRPr="002F69CA" w:rsidRDefault="00AA0E9F" w:rsidP="00AA0E9F">
            <w:pPr>
              <w:pStyle w:val="ListNumber"/>
              <w:numPr>
                <w:ilvl w:val="0"/>
                <w:numId w:val="0"/>
              </w:numPr>
              <w:jc w:val="center"/>
            </w:pPr>
            <w:r>
              <w:rPr>
                <w:color w:val="000000"/>
              </w:rPr>
              <w:t>16A</w:t>
            </w:r>
          </w:p>
        </w:tc>
        <w:tc>
          <w:tcPr>
            <w:tcW w:w="2997" w:type="dxa"/>
          </w:tcPr>
          <w:p w14:paraId="0BE42504" w14:textId="277CE027" w:rsidR="00AA0E9F" w:rsidRPr="002F69CA" w:rsidRDefault="00AA0E9F" w:rsidP="00AA0E9F">
            <w:pPr>
              <w:pStyle w:val="ListNumber"/>
              <w:numPr>
                <w:ilvl w:val="0"/>
                <w:numId w:val="0"/>
              </w:numPr>
            </w:pPr>
            <w:r>
              <w:rPr>
                <w:color w:val="000000"/>
              </w:rPr>
              <w:t>Sechelt Inlet</w:t>
            </w:r>
          </w:p>
        </w:tc>
        <w:tc>
          <w:tcPr>
            <w:tcW w:w="2151" w:type="dxa"/>
          </w:tcPr>
          <w:p w14:paraId="4A6CCE43" w14:textId="321C4EFB" w:rsidR="00AA0E9F" w:rsidRPr="002F69CA" w:rsidRDefault="00AA0E9F" w:rsidP="00AA0E9F">
            <w:pPr>
              <w:pStyle w:val="ListNumber"/>
              <w:numPr>
                <w:ilvl w:val="0"/>
                <w:numId w:val="0"/>
              </w:numPr>
            </w:pPr>
            <w:r>
              <w:rPr>
                <w:color w:val="000000"/>
              </w:rPr>
              <w:t xml:space="preserve">16-6 to 16-8, </w:t>
            </w:r>
            <w:proofErr w:type="spellStart"/>
            <w:r>
              <w:rPr>
                <w:color w:val="000000"/>
              </w:rPr>
              <w:t>ptn</w:t>
            </w:r>
            <w:proofErr w:type="spellEnd"/>
            <w:r>
              <w:rPr>
                <w:color w:val="000000"/>
              </w:rPr>
              <w:t>. of 16-9</w:t>
            </w:r>
          </w:p>
        </w:tc>
        <w:tc>
          <w:tcPr>
            <w:tcW w:w="2152" w:type="dxa"/>
          </w:tcPr>
          <w:p w14:paraId="4B31C8F0" w14:textId="0A976155" w:rsidR="00AA0E9F" w:rsidRPr="00CD523E" w:rsidRDefault="00CD523E" w:rsidP="00AA0E9F">
            <w:pPr>
              <w:pStyle w:val="ListNumber"/>
              <w:numPr>
                <w:ilvl w:val="0"/>
                <w:numId w:val="0"/>
              </w:numPr>
              <w:jc w:val="center"/>
            </w:pPr>
            <w:r w:rsidRPr="00CD523E">
              <w:t>10,291</w:t>
            </w:r>
          </w:p>
        </w:tc>
      </w:tr>
      <w:tr w:rsidR="00AA0E9F" w:rsidRPr="00F71E4C" w14:paraId="49D5739A" w14:textId="77777777" w:rsidTr="006D0C73">
        <w:tc>
          <w:tcPr>
            <w:tcW w:w="1330" w:type="dxa"/>
          </w:tcPr>
          <w:p w14:paraId="561C2DD9" w14:textId="043AA741" w:rsidR="00AA0E9F" w:rsidRPr="002F69CA" w:rsidRDefault="00AA0E9F" w:rsidP="00AA0E9F">
            <w:pPr>
              <w:pStyle w:val="ListNumber"/>
              <w:numPr>
                <w:ilvl w:val="0"/>
                <w:numId w:val="0"/>
              </w:numPr>
              <w:jc w:val="center"/>
            </w:pPr>
            <w:r>
              <w:rPr>
                <w:color w:val="000000"/>
              </w:rPr>
              <w:t>16B</w:t>
            </w:r>
          </w:p>
        </w:tc>
        <w:tc>
          <w:tcPr>
            <w:tcW w:w="2997" w:type="dxa"/>
          </w:tcPr>
          <w:p w14:paraId="1217BE31" w14:textId="592F2395" w:rsidR="00AA0E9F" w:rsidRPr="002F69CA" w:rsidRDefault="00AA0E9F" w:rsidP="00AA0E9F">
            <w:pPr>
              <w:pStyle w:val="ListNumber"/>
              <w:numPr>
                <w:ilvl w:val="0"/>
                <w:numId w:val="0"/>
              </w:numPr>
            </w:pPr>
            <w:r>
              <w:rPr>
                <w:color w:val="000000"/>
              </w:rPr>
              <w:t>Jervis Inlet</w:t>
            </w:r>
          </w:p>
        </w:tc>
        <w:tc>
          <w:tcPr>
            <w:tcW w:w="2151" w:type="dxa"/>
          </w:tcPr>
          <w:p w14:paraId="33E827E8" w14:textId="1E18AB2E" w:rsidR="00AA0E9F" w:rsidRPr="002F69CA" w:rsidRDefault="00AA0E9F" w:rsidP="00AA0E9F">
            <w:pPr>
              <w:pStyle w:val="ListNumber"/>
              <w:numPr>
                <w:ilvl w:val="0"/>
                <w:numId w:val="0"/>
              </w:numPr>
            </w:pPr>
            <w:r>
              <w:t xml:space="preserve">16-10, </w:t>
            </w:r>
            <w:proofErr w:type="spellStart"/>
            <w:r>
              <w:t>ptn</w:t>
            </w:r>
            <w:proofErr w:type="spellEnd"/>
            <w:r>
              <w:t>. of 16-11;      16-12, 16-13</w:t>
            </w:r>
          </w:p>
        </w:tc>
        <w:tc>
          <w:tcPr>
            <w:tcW w:w="2152" w:type="dxa"/>
          </w:tcPr>
          <w:p w14:paraId="6C4FBB68" w14:textId="27947067" w:rsidR="00AA0E9F" w:rsidRPr="00CD523E" w:rsidRDefault="00CD523E" w:rsidP="00AA0E9F">
            <w:pPr>
              <w:pStyle w:val="ListNumber"/>
              <w:numPr>
                <w:ilvl w:val="0"/>
                <w:numId w:val="0"/>
              </w:numPr>
              <w:jc w:val="center"/>
            </w:pPr>
            <w:r w:rsidRPr="00CD523E">
              <w:t>14,537</w:t>
            </w:r>
          </w:p>
        </w:tc>
      </w:tr>
      <w:tr w:rsidR="00AA0E9F" w:rsidRPr="00F71E4C" w14:paraId="68B5E9B3" w14:textId="77777777" w:rsidTr="006D0C73">
        <w:tc>
          <w:tcPr>
            <w:tcW w:w="1330" w:type="dxa"/>
          </w:tcPr>
          <w:p w14:paraId="49310DAA" w14:textId="71A1D499" w:rsidR="00AA0E9F" w:rsidRPr="002F69CA" w:rsidRDefault="00AA0E9F" w:rsidP="00AA0E9F">
            <w:pPr>
              <w:pStyle w:val="ListNumber"/>
              <w:numPr>
                <w:ilvl w:val="0"/>
                <w:numId w:val="0"/>
              </w:numPr>
              <w:jc w:val="center"/>
            </w:pPr>
            <w:r w:rsidRPr="002F69CA">
              <w:t>16C</w:t>
            </w:r>
          </w:p>
        </w:tc>
        <w:tc>
          <w:tcPr>
            <w:tcW w:w="2997" w:type="dxa"/>
          </w:tcPr>
          <w:p w14:paraId="79E5FD88" w14:textId="6865DC34" w:rsidR="00AA0E9F" w:rsidRPr="002F69CA" w:rsidRDefault="00AA0E9F" w:rsidP="00AA0E9F">
            <w:pPr>
              <w:pStyle w:val="ListNumber"/>
              <w:numPr>
                <w:ilvl w:val="0"/>
                <w:numId w:val="0"/>
              </w:numPr>
            </w:pPr>
            <w:proofErr w:type="spellStart"/>
            <w:r w:rsidRPr="002F69CA">
              <w:t>Texada</w:t>
            </w:r>
            <w:proofErr w:type="spellEnd"/>
            <w:r w:rsidRPr="002F69CA">
              <w:t xml:space="preserve"> Island</w:t>
            </w:r>
          </w:p>
        </w:tc>
        <w:tc>
          <w:tcPr>
            <w:tcW w:w="2151" w:type="dxa"/>
          </w:tcPr>
          <w:p w14:paraId="073C5541" w14:textId="07046FB6" w:rsidR="00AA0E9F" w:rsidRPr="002F69CA" w:rsidRDefault="00AA0E9F" w:rsidP="00AA0E9F">
            <w:pPr>
              <w:pStyle w:val="ListNumber"/>
              <w:numPr>
                <w:ilvl w:val="0"/>
                <w:numId w:val="0"/>
              </w:numPr>
              <w:jc w:val="left"/>
            </w:pPr>
            <w:r w:rsidRPr="002F69CA">
              <w:t>15-1, 16-18, 16-21, 16-22</w:t>
            </w:r>
          </w:p>
        </w:tc>
        <w:tc>
          <w:tcPr>
            <w:tcW w:w="2152" w:type="dxa"/>
          </w:tcPr>
          <w:p w14:paraId="309F420E" w14:textId="1EA8F8D1" w:rsidR="00AA0E9F" w:rsidRPr="00CD523E" w:rsidRDefault="00CD523E" w:rsidP="00AA0E9F">
            <w:pPr>
              <w:pStyle w:val="ListNumber"/>
              <w:numPr>
                <w:ilvl w:val="0"/>
                <w:numId w:val="0"/>
              </w:numPr>
              <w:jc w:val="center"/>
            </w:pPr>
            <w:r w:rsidRPr="00CD523E">
              <w:t>10,221</w:t>
            </w:r>
          </w:p>
        </w:tc>
      </w:tr>
      <w:tr w:rsidR="00AA0E9F" w:rsidRPr="00F71E4C" w14:paraId="74AF1B6F" w14:textId="77777777" w:rsidTr="006D0C73">
        <w:tc>
          <w:tcPr>
            <w:tcW w:w="1330" w:type="dxa"/>
          </w:tcPr>
          <w:p w14:paraId="25D37755" w14:textId="73CE7352" w:rsidR="00AA0E9F" w:rsidRPr="002F69CA" w:rsidRDefault="00AA0E9F" w:rsidP="00AA0E9F">
            <w:pPr>
              <w:pStyle w:val="ListNumber"/>
              <w:numPr>
                <w:ilvl w:val="0"/>
                <w:numId w:val="0"/>
              </w:numPr>
              <w:jc w:val="center"/>
            </w:pPr>
            <w:r w:rsidRPr="002F69CA">
              <w:t>16D</w:t>
            </w:r>
          </w:p>
        </w:tc>
        <w:tc>
          <w:tcPr>
            <w:tcW w:w="2997" w:type="dxa"/>
          </w:tcPr>
          <w:p w14:paraId="3C95C2A8" w14:textId="169D8A2F" w:rsidR="00AA0E9F" w:rsidRPr="002F69CA" w:rsidRDefault="00AA0E9F" w:rsidP="00AA0E9F">
            <w:pPr>
              <w:pStyle w:val="ListNumber"/>
              <w:numPr>
                <w:ilvl w:val="0"/>
                <w:numId w:val="0"/>
              </w:numPr>
            </w:pPr>
            <w:r w:rsidRPr="002F69CA">
              <w:t>Lasqueti Island</w:t>
            </w:r>
          </w:p>
        </w:tc>
        <w:tc>
          <w:tcPr>
            <w:tcW w:w="2151" w:type="dxa"/>
          </w:tcPr>
          <w:p w14:paraId="58598B82" w14:textId="24B0EC4F" w:rsidR="00AA0E9F" w:rsidRPr="002F69CA" w:rsidRDefault="00AA0E9F" w:rsidP="00AA0E9F">
            <w:pPr>
              <w:pStyle w:val="ListNumber"/>
              <w:numPr>
                <w:ilvl w:val="0"/>
                <w:numId w:val="0"/>
              </w:numPr>
              <w:jc w:val="left"/>
            </w:pPr>
            <w:r w:rsidRPr="002F69CA">
              <w:t>14-3, 16-19, 16-20</w:t>
            </w:r>
          </w:p>
        </w:tc>
        <w:tc>
          <w:tcPr>
            <w:tcW w:w="2152" w:type="dxa"/>
          </w:tcPr>
          <w:p w14:paraId="7E49EA51" w14:textId="07892568" w:rsidR="00AA0E9F" w:rsidRPr="00CD523E" w:rsidRDefault="00CD523E" w:rsidP="00AA0E9F">
            <w:pPr>
              <w:pStyle w:val="ListNumber"/>
              <w:numPr>
                <w:ilvl w:val="0"/>
                <w:numId w:val="0"/>
              </w:numPr>
              <w:jc w:val="center"/>
            </w:pPr>
            <w:r w:rsidRPr="00CD523E">
              <w:t>19,845</w:t>
            </w:r>
          </w:p>
        </w:tc>
      </w:tr>
      <w:tr w:rsidR="00AA0E9F" w:rsidRPr="00F71E4C" w14:paraId="79720D3D" w14:textId="77777777" w:rsidTr="006D0C73">
        <w:tc>
          <w:tcPr>
            <w:tcW w:w="1330" w:type="dxa"/>
          </w:tcPr>
          <w:p w14:paraId="7CBC74D2" w14:textId="61F7F951" w:rsidR="00AA0E9F" w:rsidRPr="002F69CA" w:rsidRDefault="00AA0E9F" w:rsidP="00AA0E9F">
            <w:pPr>
              <w:pStyle w:val="ListNumber"/>
              <w:numPr>
                <w:ilvl w:val="0"/>
                <w:numId w:val="0"/>
              </w:numPr>
              <w:jc w:val="center"/>
            </w:pPr>
            <w:r w:rsidRPr="002F69CA">
              <w:t xml:space="preserve">18A </w:t>
            </w:r>
          </w:p>
        </w:tc>
        <w:tc>
          <w:tcPr>
            <w:tcW w:w="2997" w:type="dxa"/>
          </w:tcPr>
          <w:p w14:paraId="64DA9419" w14:textId="01248500" w:rsidR="00AA0E9F" w:rsidRPr="002F69CA" w:rsidRDefault="00AA0E9F" w:rsidP="00AA0E9F">
            <w:pPr>
              <w:pStyle w:val="ListNumber"/>
              <w:numPr>
                <w:ilvl w:val="0"/>
                <w:numId w:val="0"/>
              </w:numPr>
            </w:pPr>
            <w:r w:rsidRPr="002F69CA">
              <w:t>Gulf Islands South</w:t>
            </w:r>
          </w:p>
        </w:tc>
        <w:tc>
          <w:tcPr>
            <w:tcW w:w="2151" w:type="dxa"/>
          </w:tcPr>
          <w:p w14:paraId="30706E02" w14:textId="710F0C0A" w:rsidR="00AA0E9F" w:rsidRPr="002F69CA" w:rsidRDefault="00AA0E9F" w:rsidP="00AA0E9F">
            <w:pPr>
              <w:pStyle w:val="ListNumber"/>
              <w:numPr>
                <w:ilvl w:val="0"/>
                <w:numId w:val="0"/>
              </w:numPr>
            </w:pPr>
            <w:r w:rsidRPr="002F69CA">
              <w:t>18-1, 18-2, 18-4, 18-5, 18-9, 18-11</w:t>
            </w:r>
          </w:p>
        </w:tc>
        <w:tc>
          <w:tcPr>
            <w:tcW w:w="2152" w:type="dxa"/>
          </w:tcPr>
          <w:p w14:paraId="6438FDEB" w14:textId="273E40D7" w:rsidR="00AA0E9F" w:rsidRPr="00CD523E" w:rsidRDefault="00AA0E9F" w:rsidP="00AA0E9F">
            <w:pPr>
              <w:pStyle w:val="ListNumber"/>
              <w:numPr>
                <w:ilvl w:val="0"/>
                <w:numId w:val="0"/>
              </w:numPr>
              <w:jc w:val="center"/>
            </w:pPr>
            <w:r w:rsidRPr="00CD523E">
              <w:t>18,738</w:t>
            </w:r>
          </w:p>
        </w:tc>
      </w:tr>
    </w:tbl>
    <w:p w14:paraId="2471D289" w14:textId="61E2537F" w:rsidR="00C1629C" w:rsidRDefault="009C09C9" w:rsidP="00C0242F">
      <w:pPr>
        <w:pStyle w:val="ListNumber"/>
        <w:numPr>
          <w:ilvl w:val="0"/>
          <w:numId w:val="0"/>
        </w:numPr>
        <w:ind w:left="720"/>
        <w:rPr>
          <w:i/>
        </w:rPr>
      </w:pPr>
      <w:r w:rsidRPr="00F71E4C">
        <w:rPr>
          <w:i/>
        </w:rPr>
        <w:t>*</w:t>
      </w:r>
      <w:r w:rsidR="00C1629C" w:rsidRPr="00F71E4C">
        <w:rPr>
          <w:i/>
        </w:rPr>
        <w:t>All weights are in split pounds</w:t>
      </w:r>
    </w:p>
    <w:p w14:paraId="42AA1544" w14:textId="77777777" w:rsidR="00681304" w:rsidRPr="00F71E4C" w:rsidRDefault="00681304" w:rsidP="00C0242F">
      <w:pPr>
        <w:pStyle w:val="ListNumber"/>
        <w:numPr>
          <w:ilvl w:val="0"/>
          <w:numId w:val="0"/>
        </w:numPr>
        <w:ind w:left="720"/>
        <w:rPr>
          <w:i/>
        </w:rPr>
      </w:pPr>
    </w:p>
    <w:tbl>
      <w:tblPr>
        <w:tblStyle w:val="TableGrid"/>
        <w:tblW w:w="0" w:type="auto"/>
        <w:tblInd w:w="720" w:type="dxa"/>
        <w:tblLook w:val="04A0" w:firstRow="1" w:lastRow="0" w:firstColumn="1" w:lastColumn="0" w:noHBand="0" w:noVBand="1"/>
      </w:tblPr>
      <w:tblGrid>
        <w:gridCol w:w="1344"/>
        <w:gridCol w:w="2976"/>
        <w:gridCol w:w="2154"/>
        <w:gridCol w:w="2156"/>
      </w:tblGrid>
      <w:tr w:rsidR="00681304" w:rsidRPr="00F71E4C" w14:paraId="372A629E" w14:textId="77777777" w:rsidTr="008418F6">
        <w:tc>
          <w:tcPr>
            <w:tcW w:w="8630" w:type="dxa"/>
            <w:gridSpan w:val="4"/>
          </w:tcPr>
          <w:p w14:paraId="3F2CDD16" w14:textId="771DCB5A" w:rsidR="00681304" w:rsidRPr="00F71E4C" w:rsidRDefault="00681304" w:rsidP="008418F6">
            <w:pPr>
              <w:pStyle w:val="ListNumber"/>
              <w:numPr>
                <w:ilvl w:val="0"/>
                <w:numId w:val="0"/>
              </w:numPr>
              <w:jc w:val="center"/>
              <w:rPr>
                <w:b/>
              </w:rPr>
            </w:pPr>
            <w:r w:rsidRPr="005F1E0D">
              <w:rPr>
                <w:b/>
              </w:rPr>
              <w:t>202</w:t>
            </w:r>
            <w:r w:rsidR="007E2D1C">
              <w:rPr>
                <w:b/>
              </w:rPr>
              <w:t>2</w:t>
            </w:r>
            <w:r w:rsidRPr="005F1E0D">
              <w:rPr>
                <w:b/>
              </w:rPr>
              <w:t xml:space="preserve"> Fallback Quota in</w:t>
            </w:r>
            <w:r w:rsidR="002F69CA" w:rsidRPr="005F1E0D">
              <w:rPr>
                <w:b/>
              </w:rPr>
              <w:t xml:space="preserve"> WCVI</w:t>
            </w:r>
            <w:r w:rsidRPr="005F1E0D">
              <w:rPr>
                <w:b/>
              </w:rPr>
              <w:t xml:space="preserve"> Licence Area</w:t>
            </w:r>
          </w:p>
        </w:tc>
      </w:tr>
      <w:tr w:rsidR="00681304" w:rsidRPr="00F71E4C" w14:paraId="463F363A" w14:textId="77777777" w:rsidTr="008418F6">
        <w:tc>
          <w:tcPr>
            <w:tcW w:w="4320" w:type="dxa"/>
            <w:gridSpan w:val="2"/>
          </w:tcPr>
          <w:p w14:paraId="70162821" w14:textId="77777777" w:rsidR="00681304" w:rsidRPr="00F71E4C" w:rsidRDefault="00681304" w:rsidP="008418F6">
            <w:pPr>
              <w:pStyle w:val="ListNumber"/>
              <w:numPr>
                <w:ilvl w:val="0"/>
                <w:numId w:val="0"/>
              </w:numPr>
              <w:jc w:val="center"/>
              <w:rPr>
                <w:b/>
              </w:rPr>
            </w:pPr>
            <w:r w:rsidRPr="00F71E4C">
              <w:rPr>
                <w:b/>
              </w:rPr>
              <w:t>Quota Management Area</w:t>
            </w:r>
          </w:p>
        </w:tc>
        <w:tc>
          <w:tcPr>
            <w:tcW w:w="2154" w:type="dxa"/>
          </w:tcPr>
          <w:p w14:paraId="1D0E66F0" w14:textId="77777777" w:rsidR="00681304" w:rsidRPr="00F71E4C" w:rsidRDefault="00681304" w:rsidP="008418F6">
            <w:pPr>
              <w:pStyle w:val="ListNumber"/>
              <w:numPr>
                <w:ilvl w:val="0"/>
                <w:numId w:val="0"/>
              </w:numPr>
              <w:jc w:val="center"/>
              <w:rPr>
                <w:b/>
              </w:rPr>
            </w:pPr>
            <w:r w:rsidRPr="001A145F">
              <w:rPr>
                <w:b/>
              </w:rPr>
              <w:t>Description</w:t>
            </w:r>
          </w:p>
          <w:p w14:paraId="4C8FBCDC" w14:textId="77777777" w:rsidR="00681304" w:rsidRPr="00F71E4C" w:rsidRDefault="00681304" w:rsidP="008418F6">
            <w:pPr>
              <w:pStyle w:val="ListNumber"/>
              <w:numPr>
                <w:ilvl w:val="0"/>
                <w:numId w:val="0"/>
              </w:numPr>
              <w:jc w:val="center"/>
              <w:rPr>
                <w:b/>
              </w:rPr>
            </w:pPr>
            <w:r w:rsidRPr="00F71E4C">
              <w:rPr>
                <w:b/>
              </w:rPr>
              <w:t>(by Subarea)</w:t>
            </w:r>
          </w:p>
        </w:tc>
        <w:tc>
          <w:tcPr>
            <w:tcW w:w="2156" w:type="dxa"/>
          </w:tcPr>
          <w:p w14:paraId="414D1C30" w14:textId="77777777" w:rsidR="00681304" w:rsidRPr="00F71E4C" w:rsidRDefault="00681304" w:rsidP="008418F6">
            <w:pPr>
              <w:pStyle w:val="ListNumber"/>
              <w:numPr>
                <w:ilvl w:val="0"/>
                <w:numId w:val="0"/>
              </w:numPr>
              <w:jc w:val="center"/>
              <w:rPr>
                <w:b/>
              </w:rPr>
            </w:pPr>
            <w:r w:rsidRPr="00F71E4C">
              <w:rPr>
                <w:b/>
              </w:rPr>
              <w:t>Fallback Quota (lb.)*</w:t>
            </w:r>
          </w:p>
        </w:tc>
      </w:tr>
      <w:tr w:rsidR="000E28C5" w:rsidRPr="00F71E4C" w14:paraId="79971557" w14:textId="77777777" w:rsidTr="008418F6">
        <w:tc>
          <w:tcPr>
            <w:tcW w:w="1344" w:type="dxa"/>
          </w:tcPr>
          <w:p w14:paraId="02103248" w14:textId="0740C874" w:rsidR="000E28C5" w:rsidRPr="00F71E4C" w:rsidRDefault="000E28C5" w:rsidP="000E28C5">
            <w:pPr>
              <w:pStyle w:val="ListNumber"/>
              <w:numPr>
                <w:ilvl w:val="0"/>
                <w:numId w:val="0"/>
              </w:numPr>
              <w:jc w:val="center"/>
            </w:pPr>
            <w:r>
              <w:rPr>
                <w:color w:val="000000"/>
              </w:rPr>
              <w:t xml:space="preserve">25A </w:t>
            </w:r>
          </w:p>
        </w:tc>
        <w:tc>
          <w:tcPr>
            <w:tcW w:w="2976" w:type="dxa"/>
          </w:tcPr>
          <w:p w14:paraId="42659427" w14:textId="5B56AD21" w:rsidR="000E28C5" w:rsidRPr="00F71E4C" w:rsidRDefault="000E28C5" w:rsidP="000E28C5">
            <w:pPr>
              <w:pStyle w:val="ListNumber"/>
              <w:numPr>
                <w:ilvl w:val="0"/>
                <w:numId w:val="0"/>
              </w:numPr>
            </w:pPr>
            <w:r>
              <w:rPr>
                <w:color w:val="000000"/>
              </w:rPr>
              <w:t>Nootka/</w:t>
            </w:r>
            <w:proofErr w:type="spellStart"/>
            <w:r>
              <w:rPr>
                <w:color w:val="000000"/>
              </w:rPr>
              <w:t>Tahsis</w:t>
            </w:r>
            <w:proofErr w:type="spellEnd"/>
          </w:p>
        </w:tc>
        <w:tc>
          <w:tcPr>
            <w:tcW w:w="2154" w:type="dxa"/>
          </w:tcPr>
          <w:p w14:paraId="4DF16526" w14:textId="273CC486" w:rsidR="000E28C5" w:rsidRPr="00F71E4C" w:rsidRDefault="000E28C5" w:rsidP="000E28C5">
            <w:pPr>
              <w:pStyle w:val="ListNumber"/>
              <w:numPr>
                <w:ilvl w:val="0"/>
                <w:numId w:val="0"/>
              </w:numPr>
              <w:jc w:val="left"/>
            </w:pPr>
            <w:r>
              <w:rPr>
                <w:color w:val="000000"/>
              </w:rPr>
              <w:t>25-6, 25-8, 25-9, 25-12, 25-15</w:t>
            </w:r>
          </w:p>
        </w:tc>
        <w:tc>
          <w:tcPr>
            <w:tcW w:w="2156" w:type="dxa"/>
          </w:tcPr>
          <w:p w14:paraId="40C25080" w14:textId="5DC026F1" w:rsidR="000E28C5" w:rsidRPr="00CD523E" w:rsidRDefault="000E28C5" w:rsidP="000E28C5">
            <w:pPr>
              <w:pStyle w:val="ListNumber"/>
              <w:numPr>
                <w:ilvl w:val="0"/>
                <w:numId w:val="0"/>
              </w:numPr>
              <w:jc w:val="center"/>
            </w:pPr>
            <w:r w:rsidRPr="00CD523E">
              <w:t>1,400</w:t>
            </w:r>
          </w:p>
        </w:tc>
      </w:tr>
      <w:tr w:rsidR="000E28C5" w:rsidRPr="00F71E4C" w14:paraId="16FB26A3" w14:textId="77777777" w:rsidTr="008418F6">
        <w:tc>
          <w:tcPr>
            <w:tcW w:w="1344" w:type="dxa"/>
          </w:tcPr>
          <w:p w14:paraId="517A535D" w14:textId="614C13FB" w:rsidR="000E28C5" w:rsidRPr="00F71E4C" w:rsidRDefault="000E28C5" w:rsidP="000E28C5">
            <w:pPr>
              <w:pStyle w:val="ListNumber"/>
              <w:numPr>
                <w:ilvl w:val="0"/>
                <w:numId w:val="0"/>
              </w:numPr>
              <w:jc w:val="center"/>
            </w:pPr>
            <w:r>
              <w:rPr>
                <w:color w:val="000000"/>
              </w:rPr>
              <w:lastRenderedPageBreak/>
              <w:t xml:space="preserve">25B </w:t>
            </w:r>
          </w:p>
        </w:tc>
        <w:tc>
          <w:tcPr>
            <w:tcW w:w="2976" w:type="dxa"/>
          </w:tcPr>
          <w:p w14:paraId="5CDCF38C" w14:textId="3EA77314" w:rsidR="000E28C5" w:rsidRDefault="000E28C5" w:rsidP="000E28C5">
            <w:pPr>
              <w:pStyle w:val="ListNumber"/>
              <w:numPr>
                <w:ilvl w:val="0"/>
                <w:numId w:val="0"/>
              </w:numPr>
            </w:pPr>
            <w:proofErr w:type="spellStart"/>
            <w:r>
              <w:rPr>
                <w:color w:val="000000"/>
              </w:rPr>
              <w:t>Muchalat</w:t>
            </w:r>
            <w:proofErr w:type="spellEnd"/>
            <w:r>
              <w:rPr>
                <w:color w:val="000000"/>
              </w:rPr>
              <w:t>/</w:t>
            </w:r>
            <w:proofErr w:type="spellStart"/>
            <w:r>
              <w:rPr>
                <w:color w:val="000000"/>
              </w:rPr>
              <w:t>Tlupana</w:t>
            </w:r>
            <w:proofErr w:type="spellEnd"/>
          </w:p>
        </w:tc>
        <w:tc>
          <w:tcPr>
            <w:tcW w:w="2154" w:type="dxa"/>
          </w:tcPr>
          <w:p w14:paraId="237816C1" w14:textId="38F69983" w:rsidR="000E28C5" w:rsidRPr="00F71E4C" w:rsidRDefault="000E28C5" w:rsidP="000E28C5">
            <w:pPr>
              <w:pStyle w:val="ListNumber"/>
              <w:numPr>
                <w:ilvl w:val="0"/>
                <w:numId w:val="0"/>
              </w:numPr>
            </w:pPr>
            <w:r>
              <w:rPr>
                <w:color w:val="000000"/>
              </w:rPr>
              <w:t>25-1 to 25-5</w:t>
            </w:r>
          </w:p>
        </w:tc>
        <w:tc>
          <w:tcPr>
            <w:tcW w:w="2156" w:type="dxa"/>
          </w:tcPr>
          <w:p w14:paraId="510DBC3C" w14:textId="657F3BF8" w:rsidR="000E28C5" w:rsidRPr="00CD523E" w:rsidRDefault="000E28C5" w:rsidP="000E28C5">
            <w:pPr>
              <w:pStyle w:val="ListNumber"/>
              <w:numPr>
                <w:ilvl w:val="0"/>
                <w:numId w:val="0"/>
              </w:numPr>
              <w:jc w:val="center"/>
            </w:pPr>
            <w:r w:rsidRPr="00CD523E">
              <w:t>4,525</w:t>
            </w:r>
          </w:p>
        </w:tc>
      </w:tr>
    </w:tbl>
    <w:p w14:paraId="341A9874" w14:textId="77777777" w:rsidR="00681304" w:rsidRPr="006D0C73" w:rsidRDefault="00681304" w:rsidP="00681304">
      <w:pPr>
        <w:pStyle w:val="ListNumber"/>
        <w:numPr>
          <w:ilvl w:val="0"/>
          <w:numId w:val="0"/>
        </w:numPr>
        <w:ind w:left="720"/>
        <w:rPr>
          <w:i/>
        </w:rPr>
      </w:pPr>
      <w:r w:rsidRPr="00F71E4C">
        <w:rPr>
          <w:i/>
        </w:rPr>
        <w:t>*All weights are in split pounds</w:t>
      </w:r>
    </w:p>
    <w:p w14:paraId="3DA690B6" w14:textId="77777777" w:rsidR="00C1629C" w:rsidRPr="00F71E4C" w:rsidRDefault="00C1629C" w:rsidP="008700D3">
      <w:pPr>
        <w:pStyle w:val="ListNumber"/>
        <w:numPr>
          <w:ilvl w:val="0"/>
          <w:numId w:val="0"/>
        </w:numPr>
        <w:ind w:left="720" w:hanging="360"/>
        <w:rPr>
          <w:i/>
        </w:rPr>
      </w:pPr>
    </w:p>
    <w:p w14:paraId="3A0A5FC6" w14:textId="77777777" w:rsidR="00DD23BB" w:rsidRPr="00F71E4C" w:rsidRDefault="000612CF" w:rsidP="00DD23BB">
      <w:pPr>
        <w:pStyle w:val="Heading2"/>
      </w:pPr>
      <w:bookmarkStart w:id="117" w:name="_Toc423417458"/>
      <w:bookmarkStart w:id="118" w:name="_Toc423417459"/>
      <w:bookmarkStart w:id="119" w:name="_Toc423417460"/>
      <w:bookmarkStart w:id="120" w:name="_Toc423417461"/>
      <w:bookmarkStart w:id="121" w:name="_Toc423417462"/>
      <w:bookmarkStart w:id="122" w:name="_Toc423417463"/>
      <w:bookmarkStart w:id="123" w:name="_Toc423417480"/>
      <w:bookmarkStart w:id="124" w:name="_Toc107404359"/>
      <w:bookmarkEnd w:id="117"/>
      <w:bookmarkEnd w:id="118"/>
      <w:bookmarkEnd w:id="119"/>
      <w:bookmarkEnd w:id="120"/>
      <w:bookmarkEnd w:id="121"/>
      <w:bookmarkEnd w:id="122"/>
      <w:bookmarkEnd w:id="123"/>
      <w:r w:rsidRPr="00F71E4C">
        <w:t>Disruptions Due to Unforeseen Issues (Environmental Contamination, Other)</w:t>
      </w:r>
      <w:bookmarkEnd w:id="124"/>
    </w:p>
    <w:p w14:paraId="3B08F79C" w14:textId="77777777" w:rsidR="00DD23BB" w:rsidRPr="00F71E4C" w:rsidRDefault="000612CF" w:rsidP="000501F7">
      <w:r w:rsidRPr="00F71E4C">
        <w:t xml:space="preserve">The Department may, at its discretion and upon request from the PSCHA, transfer quota in-season between QMAs not included in this IFMP. </w:t>
      </w:r>
      <w:r w:rsidR="004C580D" w:rsidRPr="00F71E4C">
        <w:t>For example, a</w:t>
      </w:r>
      <w:r w:rsidRPr="00F71E4C">
        <w:t>n impacted</w:t>
      </w:r>
      <w:r w:rsidR="004C580D" w:rsidRPr="00F71E4C">
        <w:t xml:space="preserve"> QMA may be substituted with a QMA from a different year in the A</w:t>
      </w:r>
      <w:r w:rsidR="00F00C98" w:rsidRPr="00F71E4C">
        <w:t xml:space="preserve">daptive </w:t>
      </w:r>
      <w:r w:rsidR="004C580D" w:rsidRPr="00F71E4C">
        <w:t>R</w:t>
      </w:r>
      <w:r w:rsidR="00F00C98" w:rsidRPr="00F71E4C">
        <w:t xml:space="preserve">otational </w:t>
      </w:r>
      <w:r w:rsidR="004C580D" w:rsidRPr="00F71E4C">
        <w:t>F</w:t>
      </w:r>
      <w:r w:rsidR="00F00C98" w:rsidRPr="00F71E4C">
        <w:t xml:space="preserve">ishing </w:t>
      </w:r>
      <w:r w:rsidR="004C580D" w:rsidRPr="00F71E4C">
        <w:t>S</w:t>
      </w:r>
      <w:r w:rsidR="00F00C98" w:rsidRPr="00F71E4C">
        <w:t>trategy</w:t>
      </w:r>
      <w:r w:rsidR="004C580D" w:rsidRPr="00F71E4C">
        <w:t xml:space="preserve">. </w:t>
      </w:r>
      <w:r w:rsidRPr="00F71E4C">
        <w:t xml:space="preserve">In this scenario, quota is ‘borrowed’ from a QMA not included in the current rotation, and paid back in the appropriate year either by reducing quota in the QMA in the future or by foregoing harvest in the QMA. Other scenarios may be considered as well. </w:t>
      </w:r>
      <w:r w:rsidR="00D068CF" w:rsidRPr="00F71E4C">
        <w:t>Industry is advised that in-season changes due to unforeseen issues must be made through written request by the PSCHA to the lead manager for the fishery (see Contacts, Appendix 15).</w:t>
      </w:r>
    </w:p>
    <w:p w14:paraId="620FFCDA" w14:textId="77777777" w:rsidR="003F0B47" w:rsidRPr="00F71E4C" w:rsidRDefault="000367B5" w:rsidP="003F0B47">
      <w:pPr>
        <w:pStyle w:val="Heading2"/>
      </w:pPr>
      <w:bookmarkStart w:id="125" w:name="_Toc107404360"/>
      <w:r w:rsidRPr="00F71E4C">
        <w:t>On-grounds Communication</w:t>
      </w:r>
      <w:bookmarkEnd w:id="125"/>
    </w:p>
    <w:p w14:paraId="1A642797" w14:textId="3B925052" w:rsidR="000367B5" w:rsidRPr="00F71E4C" w:rsidRDefault="000367B5" w:rsidP="000272DE">
      <w:pPr>
        <w:pStyle w:val="Indent2"/>
        <w:ind w:left="0"/>
      </w:pPr>
      <w:r w:rsidRPr="00F71E4C">
        <w:t xml:space="preserve">The PSCHA </w:t>
      </w:r>
      <w:r w:rsidR="005E4353" w:rsidRPr="00F71E4C">
        <w:t xml:space="preserve">has designated certain </w:t>
      </w:r>
      <w:r w:rsidRPr="00F71E4C">
        <w:t xml:space="preserve">members </w:t>
      </w:r>
      <w:r w:rsidR="005E4353" w:rsidRPr="00F71E4C">
        <w:t>to act as</w:t>
      </w:r>
      <w:r w:rsidRPr="00F71E4C">
        <w:t xml:space="preserve"> “</w:t>
      </w:r>
      <w:r w:rsidR="003C7A14" w:rsidRPr="00F71E4C">
        <w:t>On-G</w:t>
      </w:r>
      <w:r w:rsidRPr="00F71E4C">
        <w:t xml:space="preserve">rounds </w:t>
      </w:r>
      <w:r w:rsidR="003C7A14" w:rsidRPr="00F71E4C">
        <w:t>C</w:t>
      </w:r>
      <w:r w:rsidRPr="00F71E4C">
        <w:t>o-</w:t>
      </w:r>
      <w:proofErr w:type="spellStart"/>
      <w:r w:rsidRPr="00F71E4C">
        <w:t>ordinators</w:t>
      </w:r>
      <w:proofErr w:type="spellEnd"/>
      <w:r w:rsidRPr="00F71E4C">
        <w:t xml:space="preserve">” for the </w:t>
      </w:r>
      <w:r w:rsidR="00C065AB">
        <w:t>202</w:t>
      </w:r>
      <w:r w:rsidR="007E2D1C">
        <w:t>2</w:t>
      </w:r>
      <w:r w:rsidR="00D66D57" w:rsidRPr="00F71E4C">
        <w:t>/20</w:t>
      </w:r>
      <w:r w:rsidR="00C065AB">
        <w:t>2</w:t>
      </w:r>
      <w:r w:rsidR="007E2D1C">
        <w:t>3</w:t>
      </w:r>
      <w:r w:rsidRPr="00F71E4C">
        <w:t xml:space="preserve"> fishing season</w:t>
      </w:r>
      <w:r w:rsidR="005E4353" w:rsidRPr="00F71E4C">
        <w:t xml:space="preserve"> in order to aid in keeping track of fleet movement and QMA quotas</w:t>
      </w:r>
      <w:r w:rsidR="00700361" w:rsidRPr="00F71E4C">
        <w:t xml:space="preserve">.  </w:t>
      </w:r>
      <w:r w:rsidR="005E4353" w:rsidRPr="00F71E4C">
        <w:t>For a list of On-Grounds Co-</w:t>
      </w:r>
      <w:proofErr w:type="spellStart"/>
      <w:r w:rsidR="005E4353" w:rsidRPr="00F71E4C">
        <w:t>ordinators</w:t>
      </w:r>
      <w:proofErr w:type="spellEnd"/>
      <w:r w:rsidR="005E4353" w:rsidRPr="00F71E4C">
        <w:t xml:space="preserve"> please contact the service provider. </w:t>
      </w:r>
      <w:r w:rsidR="00700361" w:rsidRPr="00F71E4C">
        <w:t>I</w:t>
      </w:r>
      <w:r w:rsidRPr="00F71E4C">
        <w:t xml:space="preserve">nformation on open areas, remaining </w:t>
      </w:r>
      <w:r w:rsidR="00D71723" w:rsidRPr="00F71E4C">
        <w:t>quotas,</w:t>
      </w:r>
      <w:r w:rsidRPr="00F71E4C">
        <w:t xml:space="preserve"> and upcoming closures can be obtained by contacting the service </w:t>
      </w:r>
      <w:r w:rsidR="00267C55" w:rsidRPr="00F71E4C">
        <w:t>provider</w:t>
      </w:r>
      <w:r w:rsidR="001E7261" w:rsidRPr="00F71E4C">
        <w:t xml:space="preserve"> or a fishery manager</w:t>
      </w:r>
      <w:r w:rsidR="005E4353" w:rsidRPr="00F71E4C">
        <w:t xml:space="preserve">. See Contacts in Appendix 15. </w:t>
      </w:r>
    </w:p>
    <w:p w14:paraId="0F4F9105" w14:textId="77777777" w:rsidR="002B16C3" w:rsidRPr="00F71E4C" w:rsidRDefault="002B16C3" w:rsidP="00593773">
      <w:pPr>
        <w:pStyle w:val="Heading2"/>
      </w:pPr>
      <w:bookmarkStart w:id="126" w:name="_Toc107404361"/>
      <w:bookmarkEnd w:id="2"/>
      <w:bookmarkEnd w:id="3"/>
      <w:r w:rsidRPr="00F71E4C">
        <w:t>Harvest Questionnaire</w:t>
      </w:r>
      <w:bookmarkEnd w:id="126"/>
    </w:p>
    <w:p w14:paraId="7A7B1307" w14:textId="77777777" w:rsidR="0082369C" w:rsidRPr="00F71E4C" w:rsidRDefault="002B16C3" w:rsidP="000272DE">
      <w:r w:rsidRPr="00F71E4C">
        <w:t>The Department and the PSCHA are see</w:t>
      </w:r>
      <w:r w:rsidR="007E4FDA" w:rsidRPr="00F71E4C">
        <w:t>king</w:t>
      </w:r>
      <w:r w:rsidRPr="00F71E4C">
        <w:t xml:space="preserve"> on-grounds observations from harvesters about each of the QMAs.  To gather this important information, a harvest questionnaire will be inserted into the harvest logbook. Harvesters are encouraged to fill out the questionnaire and return it to the Service Provider along with the</w:t>
      </w:r>
      <w:r w:rsidR="007E4FDA" w:rsidRPr="00F71E4C">
        <w:t xml:space="preserve"> harvest</w:t>
      </w:r>
      <w:r w:rsidRPr="00F71E4C">
        <w:t xml:space="preserve"> logbook. The questionnaires </w:t>
      </w:r>
      <w:r w:rsidR="007E4FDA" w:rsidRPr="00F71E4C">
        <w:t>will be provided</w:t>
      </w:r>
      <w:r w:rsidRPr="00F71E4C">
        <w:t xml:space="preserve"> to the </w:t>
      </w:r>
      <w:r w:rsidR="0082198E" w:rsidRPr="00F71E4C">
        <w:t>D</w:t>
      </w:r>
      <w:r w:rsidRPr="00F71E4C">
        <w:t xml:space="preserve">epartment and will </w:t>
      </w:r>
      <w:r w:rsidR="003D7437" w:rsidRPr="00F71E4C">
        <w:t xml:space="preserve">provide important information to </w:t>
      </w:r>
      <w:r w:rsidRPr="00F71E4C">
        <w:t xml:space="preserve">be considered in the management of the fishery.  </w:t>
      </w:r>
    </w:p>
    <w:p w14:paraId="5E95E5CF" w14:textId="77777777" w:rsidR="00C4494C" w:rsidRPr="00F71E4C" w:rsidRDefault="00C4494C" w:rsidP="00593773">
      <w:pPr>
        <w:pStyle w:val="Heading2"/>
      </w:pPr>
      <w:bookmarkStart w:id="127" w:name="_Toc107404362"/>
      <w:r w:rsidRPr="00F71E4C">
        <w:t>Harvesting on Aquaculture Tenures</w:t>
      </w:r>
      <w:bookmarkEnd w:id="127"/>
    </w:p>
    <w:p w14:paraId="379E1030" w14:textId="77777777" w:rsidR="00C4494C" w:rsidRPr="00F71E4C" w:rsidRDefault="00C4494C" w:rsidP="000272DE">
      <w:r w:rsidRPr="00F71E4C">
        <w:t xml:space="preserve">Aquaculture leases are considered private property.  Aquaculture </w:t>
      </w:r>
      <w:proofErr w:type="spellStart"/>
      <w:r w:rsidRPr="00F71E4C">
        <w:t>licences</w:t>
      </w:r>
      <w:proofErr w:type="spellEnd"/>
      <w:r w:rsidRPr="00F71E4C">
        <w:t xml:space="preserve"> of occupation are activity (or species) specific and do not legally restrict access unless there are impacts to the species being cultured. The Department recommends that commercial fishers familiarize themselves with the location of aquaculture tenures in fishing areas and</w:t>
      </w:r>
      <w:r w:rsidR="0082369C" w:rsidRPr="00F71E4C">
        <w:t>, if harvest is being considered from the tenure area,</w:t>
      </w:r>
      <w:r w:rsidRPr="00F71E4C">
        <w:t xml:space="preserve"> that explicit permission be sought </w:t>
      </w:r>
      <w:r w:rsidR="00F45777" w:rsidRPr="00F71E4C">
        <w:t xml:space="preserve">from the </w:t>
      </w:r>
      <w:proofErr w:type="spellStart"/>
      <w:r w:rsidR="00F45777" w:rsidRPr="00F71E4C">
        <w:t>aquaculturist</w:t>
      </w:r>
      <w:proofErr w:type="spellEnd"/>
      <w:r w:rsidR="00F45777" w:rsidRPr="00F71E4C">
        <w:t xml:space="preserve"> </w:t>
      </w:r>
      <w:r w:rsidRPr="00F71E4C">
        <w:t xml:space="preserve">to access </w:t>
      </w:r>
      <w:r w:rsidR="004F5BC9" w:rsidRPr="00F71E4C">
        <w:t>S</w:t>
      </w:r>
      <w:r w:rsidRPr="00F71E4C">
        <w:t xml:space="preserve">ea </w:t>
      </w:r>
      <w:r w:rsidR="004F5BC9" w:rsidRPr="00F71E4C">
        <w:t>C</w:t>
      </w:r>
      <w:r w:rsidRPr="00F71E4C">
        <w:t>ucumbers for commercial purposes</w:t>
      </w:r>
      <w:r w:rsidR="00BB4D40" w:rsidRPr="00F71E4C">
        <w:t>.</w:t>
      </w:r>
      <w:r w:rsidRPr="00F71E4C">
        <w:t xml:space="preserve"> </w:t>
      </w:r>
    </w:p>
    <w:p w14:paraId="45DFE10C" w14:textId="77777777" w:rsidR="00AF7279" w:rsidRPr="00F71E4C" w:rsidRDefault="00AF7279" w:rsidP="00AF7279">
      <w:pPr>
        <w:pStyle w:val="Heading2"/>
      </w:pPr>
      <w:bookmarkStart w:id="128" w:name="_Toc107404363"/>
      <w:r w:rsidRPr="00F71E4C">
        <w:t>Human Waste Containment Regulation</w:t>
      </w:r>
      <w:bookmarkEnd w:id="128"/>
    </w:p>
    <w:p w14:paraId="38C95A82" w14:textId="77777777" w:rsidR="00AF7279" w:rsidRPr="0041601E" w:rsidRDefault="00AF7279" w:rsidP="00AF7279">
      <w:r w:rsidRPr="00F71E4C">
        <w:t xml:space="preserve">Disposal of human waste into waters where shellfish are harvested or adjacent to shellfish harvest areas creates unnecessary and potentially serious health risks for shellfish consumers. In accordance with the Canadian Shellfish Sanitation Program (CSSP) and Transport Canada regulations, raw sewage (Human wastes, sewage or refuse) shall not be discharged from vessels </w:t>
      </w:r>
      <w:r w:rsidRPr="00F71E4C">
        <w:lastRenderedPageBreak/>
        <w:t xml:space="preserve">while in or adjacent to shellfish areas. Vessels operating at a distance which does not allow for timely access to on-shore washroom facilities are expected to have a designated human waste receptacle on board. Receptacles could include a portable toilet, a fixed toilet, or other containment device as appropriate. Such devices must be made of impervious, cleanable materials and have a tight-fitting lid. (Refer to Transport Canada’s Regulations for Vessel </w:t>
      </w:r>
      <w:r w:rsidRPr="0041601E">
        <w:t>Pollution and Dangerous Chemicals Regulations under the Canada Shipping Act):</w:t>
      </w:r>
    </w:p>
    <w:p w14:paraId="1FA1FC34" w14:textId="77777777" w:rsidR="00AF7279" w:rsidRPr="0057592E" w:rsidRDefault="00AF7279" w:rsidP="000501F7">
      <w:pPr>
        <w:pStyle w:val="ListParagraph"/>
        <w:numPr>
          <w:ilvl w:val="0"/>
          <w:numId w:val="21"/>
        </w:numPr>
        <w:rPr>
          <w:rFonts w:ascii="Times New Roman" w:hAnsi="Times New Roman" w:cs="Times New Roman"/>
          <w:szCs w:val="24"/>
        </w:rPr>
      </w:pPr>
      <w:r w:rsidRPr="0057592E">
        <w:rPr>
          <w:rFonts w:ascii="Times New Roman" w:hAnsi="Times New Roman" w:cs="Times New Roman"/>
          <w:szCs w:val="24"/>
        </w:rPr>
        <w:t>Portable toilets or other designated human waste receptacles shall be used only for the purpose intended, and shall be so secured and located as to prevent contamination of the shellfish area by spillage or leakage.</w:t>
      </w:r>
    </w:p>
    <w:p w14:paraId="24551B9A" w14:textId="77777777" w:rsidR="00AF7279" w:rsidRPr="0057592E" w:rsidRDefault="00AF7279" w:rsidP="000501F7">
      <w:pPr>
        <w:pStyle w:val="ListParagraph"/>
        <w:numPr>
          <w:ilvl w:val="0"/>
          <w:numId w:val="21"/>
        </w:numPr>
        <w:rPr>
          <w:rFonts w:ascii="Times New Roman" w:hAnsi="Times New Roman" w:cs="Times New Roman"/>
          <w:szCs w:val="24"/>
        </w:rPr>
      </w:pPr>
      <w:r w:rsidRPr="0057592E">
        <w:rPr>
          <w:rFonts w:ascii="Times New Roman" w:hAnsi="Times New Roman" w:cs="Times New Roman"/>
          <w:szCs w:val="24"/>
        </w:rPr>
        <w:t>The contents of toilets or other designated human waste receptacles shall be emptied only into an approved sewage disposal system.</w:t>
      </w:r>
    </w:p>
    <w:p w14:paraId="7010AC13" w14:textId="77777777" w:rsidR="000367B5" w:rsidRPr="0041601E" w:rsidRDefault="000367B5" w:rsidP="0082369C">
      <w:pPr>
        <w:pStyle w:val="Heading1"/>
        <w:spacing w:before="360"/>
      </w:pPr>
      <w:bookmarkStart w:id="129" w:name="_Toc107404364"/>
      <w:r w:rsidRPr="0041601E">
        <w:t>closures</w:t>
      </w:r>
      <w:bookmarkEnd w:id="129"/>
    </w:p>
    <w:p w14:paraId="4AA63988" w14:textId="77777777" w:rsidR="00210695" w:rsidRPr="00F71E4C" w:rsidRDefault="00D71723" w:rsidP="00757C9F">
      <w:pPr>
        <w:pStyle w:val="Indent1"/>
      </w:pPr>
      <w:r w:rsidRPr="00F71E4C">
        <w:t>It is the</w:t>
      </w:r>
      <w:r w:rsidR="00A00AB6" w:rsidRPr="00F71E4C">
        <w:t xml:space="preserve"> harvester’s</w:t>
      </w:r>
      <w:r w:rsidR="00210695" w:rsidRPr="00F71E4C">
        <w:t xml:space="preserve"> responsibility to ensure that an area is open to harvesting.</w:t>
      </w:r>
    </w:p>
    <w:p w14:paraId="65F9EE25" w14:textId="77777777" w:rsidR="0073450B" w:rsidRPr="00F71E4C" w:rsidRDefault="0073450B" w:rsidP="00757C9F">
      <w:pPr>
        <w:pStyle w:val="Heading2"/>
      </w:pPr>
      <w:bookmarkStart w:id="130" w:name="_Toc107404365"/>
      <w:bookmarkStart w:id="131" w:name="_Toc429207339"/>
      <w:r w:rsidRPr="00F71E4C">
        <w:t>Notification of Closures</w:t>
      </w:r>
      <w:bookmarkEnd w:id="130"/>
    </w:p>
    <w:p w14:paraId="4031F62E" w14:textId="77777777" w:rsidR="0073450B" w:rsidRPr="00F71E4C" w:rsidRDefault="0073450B" w:rsidP="000272DE">
      <w:pPr>
        <w:pStyle w:val="Indent2"/>
        <w:ind w:left="0"/>
      </w:pPr>
      <w:r w:rsidRPr="00F71E4C">
        <w:t>Additional closures may be announced in-season by Fishery Notice.</w:t>
      </w:r>
      <w:r w:rsidR="00CC126B" w:rsidRPr="00F71E4C">
        <w:t xml:space="preserve">  </w:t>
      </w:r>
      <w:r w:rsidRPr="00F71E4C">
        <w:t xml:space="preserve">Prior to fishing in an area, </w:t>
      </w:r>
      <w:r w:rsidR="00A00AB6" w:rsidRPr="00F71E4C">
        <w:t>fish harvesters</w:t>
      </w:r>
      <w:r w:rsidRPr="00F71E4C">
        <w:t xml:space="preserve"> are advised to contact the local Fisheries and Oceans Canada office or to contact a resource manager </w:t>
      </w:r>
      <w:r w:rsidR="009833A9" w:rsidRPr="00F71E4C">
        <w:t xml:space="preserve">listed in </w:t>
      </w:r>
      <w:r w:rsidR="000543BF" w:rsidRPr="00F71E4C">
        <w:t>the Contacts s</w:t>
      </w:r>
      <w:r w:rsidR="009833A9" w:rsidRPr="00F71E4C">
        <w:t xml:space="preserve">ection </w:t>
      </w:r>
      <w:r w:rsidRPr="00F71E4C">
        <w:t>of the IFMP</w:t>
      </w:r>
      <w:r w:rsidR="00BB5DD0" w:rsidRPr="00F71E4C">
        <w:t xml:space="preserve"> (Appendix 1</w:t>
      </w:r>
      <w:r w:rsidR="0082198E" w:rsidRPr="00F71E4C">
        <w:t>5</w:t>
      </w:r>
      <w:r w:rsidR="00BB5DD0" w:rsidRPr="00F71E4C">
        <w:t>)</w:t>
      </w:r>
      <w:r w:rsidRPr="00F71E4C">
        <w:t>.</w:t>
      </w:r>
    </w:p>
    <w:p w14:paraId="57BE1C66" w14:textId="77777777" w:rsidR="000367B5" w:rsidRPr="00F71E4C" w:rsidRDefault="000367B5" w:rsidP="008853FF">
      <w:pPr>
        <w:pStyle w:val="Heading2"/>
      </w:pPr>
      <w:bookmarkStart w:id="132" w:name="_Toc329682037"/>
      <w:bookmarkStart w:id="133" w:name="_Toc329770731"/>
      <w:bookmarkStart w:id="134" w:name="_Toc429207340"/>
      <w:bookmarkStart w:id="135" w:name="_Toc107404366"/>
      <w:bookmarkEnd w:id="131"/>
      <w:bookmarkEnd w:id="132"/>
      <w:bookmarkEnd w:id="133"/>
      <w:r w:rsidRPr="00F71E4C">
        <w:t>Closures</w:t>
      </w:r>
      <w:bookmarkEnd w:id="134"/>
      <w:bookmarkEnd w:id="135"/>
    </w:p>
    <w:p w14:paraId="33545F27" w14:textId="77777777" w:rsidR="000367B5" w:rsidRPr="00F71E4C" w:rsidRDefault="0073450B" w:rsidP="000272DE">
      <w:pPr>
        <w:pStyle w:val="Indent2"/>
        <w:ind w:left="0"/>
      </w:pPr>
      <w:r w:rsidRPr="00F71E4C">
        <w:t xml:space="preserve">The following areas will be closed </w:t>
      </w:r>
      <w:r w:rsidR="00D76C4D" w:rsidRPr="00F71E4C">
        <w:t>to</w:t>
      </w:r>
      <w:r w:rsidR="002B4178" w:rsidRPr="00F71E4C">
        <w:t xml:space="preserve"> commercial </w:t>
      </w:r>
      <w:r w:rsidR="00BD6939" w:rsidRPr="00F71E4C">
        <w:t>S</w:t>
      </w:r>
      <w:r w:rsidR="00D76C4D" w:rsidRPr="00F71E4C">
        <w:t xml:space="preserve">ea </w:t>
      </w:r>
      <w:r w:rsidR="00BD6939" w:rsidRPr="00F71E4C">
        <w:t>C</w:t>
      </w:r>
      <w:r w:rsidR="00D76C4D" w:rsidRPr="00F71E4C">
        <w:t>ucumber harvest</w:t>
      </w:r>
      <w:r w:rsidR="000367B5" w:rsidRPr="00F71E4C">
        <w:t>.</w:t>
      </w:r>
    </w:p>
    <w:p w14:paraId="46D33CCD" w14:textId="77777777" w:rsidR="000367B5" w:rsidRPr="00F71E4C" w:rsidRDefault="000367B5" w:rsidP="008853FF">
      <w:pPr>
        <w:pStyle w:val="Heading3"/>
      </w:pPr>
      <w:bookmarkStart w:id="136" w:name="_Toc429207341"/>
      <w:r w:rsidRPr="00F71E4C">
        <w:t>Area 2E</w:t>
      </w:r>
      <w:bookmarkEnd w:id="136"/>
    </w:p>
    <w:p w14:paraId="30D051F3" w14:textId="77777777" w:rsidR="00294C8C" w:rsidRPr="00F71E4C" w:rsidRDefault="00294C8C" w:rsidP="00294C8C">
      <w:pPr>
        <w:pStyle w:val="Heading4"/>
      </w:pPr>
      <w:bookmarkStart w:id="137" w:name="_Toc479405336"/>
      <w:proofErr w:type="spellStart"/>
      <w:r w:rsidRPr="00F71E4C">
        <w:t>Kwoon</w:t>
      </w:r>
      <w:proofErr w:type="spellEnd"/>
      <w:r w:rsidRPr="00F71E4C">
        <w:t xml:space="preserve"> Cove to </w:t>
      </w:r>
      <w:proofErr w:type="spellStart"/>
      <w:r w:rsidRPr="00F71E4C">
        <w:t>Gowgaia</w:t>
      </w:r>
      <w:proofErr w:type="spellEnd"/>
      <w:r w:rsidRPr="00F71E4C">
        <w:t xml:space="preserve"> Bay: Those waters of Subareas 2-38 to 2-41 and 142-1 inside a line commencing at a point on land on </w:t>
      </w:r>
      <w:proofErr w:type="spellStart"/>
      <w:r w:rsidRPr="00F71E4C">
        <w:t>T’aaxwii</w:t>
      </w:r>
      <w:proofErr w:type="spellEnd"/>
      <w:r w:rsidRPr="00F71E4C">
        <w:t xml:space="preserve"> </w:t>
      </w:r>
      <w:proofErr w:type="spellStart"/>
      <w:r w:rsidRPr="00F71E4C">
        <w:t>XaaydaGa</w:t>
      </w:r>
      <w:proofErr w:type="spellEnd"/>
      <w:r w:rsidRPr="00F71E4C">
        <w:t xml:space="preserve"> </w:t>
      </w:r>
      <w:proofErr w:type="spellStart"/>
      <w:r w:rsidRPr="00F71E4C">
        <w:t>Gwaay.yaay</w:t>
      </w:r>
      <w:proofErr w:type="spellEnd"/>
      <w:r w:rsidRPr="00F71E4C">
        <w:t xml:space="preserve"> </w:t>
      </w:r>
      <w:proofErr w:type="spellStart"/>
      <w:r w:rsidRPr="00F71E4C">
        <w:t>iinaGwaay</w:t>
      </w:r>
      <w:proofErr w:type="spellEnd"/>
      <w:r w:rsidRPr="00F71E4C">
        <w:t xml:space="preserve"> (Moresby Island) at 52°23.311’N and 131°35.794’W northwesterly to a point on land on </w:t>
      </w:r>
      <w:proofErr w:type="spellStart"/>
      <w:r w:rsidRPr="00F71E4C">
        <w:t>GuuGaalas</w:t>
      </w:r>
      <w:proofErr w:type="spellEnd"/>
      <w:r w:rsidRPr="00F71E4C">
        <w:t xml:space="preserve"> </w:t>
      </w:r>
      <w:proofErr w:type="spellStart"/>
      <w:r w:rsidRPr="00F71E4C">
        <w:t>Gwaay</w:t>
      </w:r>
      <w:proofErr w:type="spellEnd"/>
      <w:r w:rsidRPr="00F71E4C">
        <w:t xml:space="preserve"> (south </w:t>
      </w:r>
      <w:proofErr w:type="spellStart"/>
      <w:r w:rsidRPr="00F71E4C">
        <w:t>Gowdas</w:t>
      </w:r>
      <w:proofErr w:type="spellEnd"/>
      <w:r w:rsidRPr="00F71E4C">
        <w:t xml:space="preserve"> Islands) at 52°23.340’N and 131°35.859’W, thence northerly following the shoreline of </w:t>
      </w:r>
      <w:proofErr w:type="spellStart"/>
      <w:r w:rsidRPr="00F71E4C">
        <w:t>GuuGaalas</w:t>
      </w:r>
      <w:proofErr w:type="spellEnd"/>
      <w:r w:rsidRPr="00F71E4C">
        <w:t xml:space="preserve"> </w:t>
      </w:r>
      <w:proofErr w:type="spellStart"/>
      <w:r w:rsidRPr="00F71E4C">
        <w:t>Gwaay</w:t>
      </w:r>
      <w:proofErr w:type="spellEnd"/>
      <w:r w:rsidRPr="00F71E4C">
        <w:t xml:space="preserve"> (south </w:t>
      </w:r>
      <w:proofErr w:type="spellStart"/>
      <w:r w:rsidRPr="00F71E4C">
        <w:t>Gowdas</w:t>
      </w:r>
      <w:proofErr w:type="spellEnd"/>
      <w:r w:rsidRPr="00F71E4C">
        <w:t xml:space="preserve"> Islands) to 52°23.489’N and 131°36.092’W, thence southwesterly to a point in water at 52°19.074’N and 131°43.794’W, thence northwesterly to a point in water at 52°38.115’N and 132°09.939’W, thence southeasterly to a point on land on </w:t>
      </w:r>
      <w:proofErr w:type="spellStart"/>
      <w:r w:rsidRPr="00F71E4C">
        <w:t>T’aaxwii</w:t>
      </w:r>
      <w:proofErr w:type="spellEnd"/>
      <w:r w:rsidRPr="00F71E4C">
        <w:t xml:space="preserve"> </w:t>
      </w:r>
      <w:proofErr w:type="spellStart"/>
      <w:r w:rsidRPr="00F71E4C">
        <w:t>XaaydaGa</w:t>
      </w:r>
      <w:proofErr w:type="spellEnd"/>
      <w:r w:rsidRPr="00F71E4C">
        <w:t xml:space="preserve"> </w:t>
      </w:r>
      <w:proofErr w:type="spellStart"/>
      <w:r w:rsidRPr="00F71E4C">
        <w:t>Gwaay.yaay</w:t>
      </w:r>
      <w:proofErr w:type="spellEnd"/>
      <w:r w:rsidRPr="00F71E4C">
        <w:t xml:space="preserve"> </w:t>
      </w:r>
      <w:proofErr w:type="spellStart"/>
      <w:r w:rsidRPr="00F71E4C">
        <w:t>iinaGwaay</w:t>
      </w:r>
      <w:proofErr w:type="spellEnd"/>
      <w:r w:rsidRPr="00F71E4C">
        <w:t xml:space="preserve"> (Moresby Island) at 52°38.177’N and 131°56.374’W, and thence southerly following the western shoreline of </w:t>
      </w:r>
      <w:proofErr w:type="spellStart"/>
      <w:r w:rsidRPr="00F71E4C">
        <w:t>T’aaxwii</w:t>
      </w:r>
      <w:proofErr w:type="spellEnd"/>
      <w:r w:rsidRPr="00F71E4C">
        <w:t xml:space="preserve"> </w:t>
      </w:r>
      <w:proofErr w:type="spellStart"/>
      <w:r w:rsidRPr="00F71E4C">
        <w:t>XaaydaGa</w:t>
      </w:r>
      <w:proofErr w:type="spellEnd"/>
      <w:r w:rsidRPr="00F71E4C">
        <w:t xml:space="preserve"> </w:t>
      </w:r>
      <w:proofErr w:type="spellStart"/>
      <w:r w:rsidRPr="00F71E4C">
        <w:t>Gwaay.yaay</w:t>
      </w:r>
      <w:proofErr w:type="spellEnd"/>
      <w:r w:rsidRPr="00F71E4C">
        <w:t xml:space="preserve"> </w:t>
      </w:r>
      <w:proofErr w:type="spellStart"/>
      <w:r w:rsidRPr="00F71E4C">
        <w:t>iinaGwaay</w:t>
      </w:r>
      <w:proofErr w:type="spellEnd"/>
      <w:r w:rsidRPr="00F71E4C">
        <w:t xml:space="preserve"> (Moresby Island) to the beginning point. [Kun </w:t>
      </w:r>
      <w:proofErr w:type="spellStart"/>
      <w:r w:rsidRPr="00F71E4C">
        <w:t>Skuujii</w:t>
      </w:r>
      <w:proofErr w:type="spellEnd"/>
      <w:r w:rsidRPr="00F71E4C">
        <w:t xml:space="preserve"> </w:t>
      </w:r>
      <w:proofErr w:type="spellStart"/>
      <w:r w:rsidRPr="00F71E4C">
        <w:t>sda</w:t>
      </w:r>
      <w:proofErr w:type="spellEnd"/>
      <w:r w:rsidRPr="00F71E4C">
        <w:t xml:space="preserve"> </w:t>
      </w:r>
      <w:proofErr w:type="spellStart"/>
      <w:r w:rsidRPr="00F71E4C">
        <w:t>GawGaay.ya</w:t>
      </w:r>
      <w:proofErr w:type="spellEnd"/>
      <w:r w:rsidRPr="00F71E4C">
        <w:t xml:space="preserve"> (</w:t>
      </w:r>
      <w:proofErr w:type="spellStart"/>
      <w:r w:rsidRPr="00F71E4C">
        <w:t>Kwoon</w:t>
      </w:r>
      <w:proofErr w:type="spellEnd"/>
      <w:r w:rsidRPr="00F71E4C">
        <w:t xml:space="preserve"> Cove to </w:t>
      </w:r>
      <w:proofErr w:type="spellStart"/>
      <w:r w:rsidRPr="00F71E4C">
        <w:t>Gowgaia</w:t>
      </w:r>
      <w:proofErr w:type="spellEnd"/>
      <w:r w:rsidRPr="00F71E4C">
        <w:t xml:space="preserve"> Bay)]</w:t>
      </w:r>
    </w:p>
    <w:p w14:paraId="42E4AA13" w14:textId="77777777" w:rsidR="00294C8C" w:rsidRPr="00F71E4C" w:rsidRDefault="00294C8C" w:rsidP="00294C8C">
      <w:pPr>
        <w:pStyle w:val="Heading4"/>
      </w:pPr>
      <w:r w:rsidRPr="00F71E4C">
        <w:t xml:space="preserve">Wailing Island: Those waters of Subareas 2-31 and 142-1 inside a line commencing at a point on the western shoreline of </w:t>
      </w:r>
      <w:proofErr w:type="spellStart"/>
      <w:r w:rsidRPr="00F71E4C">
        <w:t>T’aaxwii</w:t>
      </w:r>
      <w:proofErr w:type="spellEnd"/>
      <w:r w:rsidRPr="00F71E4C">
        <w:t xml:space="preserve"> </w:t>
      </w:r>
      <w:proofErr w:type="spellStart"/>
      <w:r w:rsidRPr="00F71E4C">
        <w:t>XaaydaGa</w:t>
      </w:r>
      <w:proofErr w:type="spellEnd"/>
      <w:r w:rsidRPr="00F71E4C">
        <w:t xml:space="preserve"> </w:t>
      </w:r>
      <w:proofErr w:type="spellStart"/>
      <w:r w:rsidRPr="00F71E4C">
        <w:t>Gwaay.yaay</w:t>
      </w:r>
      <w:proofErr w:type="spellEnd"/>
      <w:r w:rsidRPr="00F71E4C">
        <w:t xml:space="preserve"> </w:t>
      </w:r>
      <w:proofErr w:type="spellStart"/>
      <w:r w:rsidRPr="00F71E4C">
        <w:t>iinaGwaay</w:t>
      </w:r>
      <w:proofErr w:type="spellEnd"/>
      <w:r w:rsidRPr="00F71E4C">
        <w:t xml:space="preserve"> (Moresby Island) at 52°07.210’N and 131°15.838’W easterly following the shoreline to 52°07.440’N and 131°14.307’W, thence southeasterly to a point on the northern shoreline of </w:t>
      </w:r>
      <w:proofErr w:type="spellStart"/>
      <w:r w:rsidRPr="00F71E4C">
        <w:t>K’il</w:t>
      </w:r>
      <w:proofErr w:type="spellEnd"/>
      <w:r w:rsidRPr="00F71E4C">
        <w:t xml:space="preserve"> (</w:t>
      </w:r>
      <w:proofErr w:type="spellStart"/>
      <w:r w:rsidRPr="00F71E4C">
        <w:t>Flatrock</w:t>
      </w:r>
      <w:proofErr w:type="spellEnd"/>
      <w:r w:rsidRPr="00F71E4C">
        <w:t xml:space="preserve"> Island) at 52°06.468’N and 131°10.300’W, thence easterly following the shoreline to 52°06.388’N and 131°10.079’W, thence southeasterly to the westernmost point of </w:t>
      </w:r>
      <w:proofErr w:type="spellStart"/>
      <w:r w:rsidRPr="00F71E4C">
        <w:t>Sii.niihl</w:t>
      </w:r>
      <w:proofErr w:type="spellEnd"/>
      <w:r w:rsidRPr="00F71E4C">
        <w:t xml:space="preserve"> </w:t>
      </w:r>
      <w:proofErr w:type="spellStart"/>
      <w:r w:rsidRPr="00F71E4C">
        <w:t>Gwaay.yaay</w:t>
      </w:r>
      <w:proofErr w:type="spellEnd"/>
      <w:r w:rsidRPr="00F71E4C">
        <w:t xml:space="preserve"> (Gordon </w:t>
      </w:r>
      <w:r w:rsidRPr="00F71E4C">
        <w:lastRenderedPageBreak/>
        <w:t xml:space="preserve">Islands) at 52°06.018’N and 131°09.391’W, thence southerly following the shoreline of </w:t>
      </w:r>
      <w:proofErr w:type="spellStart"/>
      <w:r w:rsidRPr="00F71E4C">
        <w:t>Sii.niihl</w:t>
      </w:r>
      <w:proofErr w:type="spellEnd"/>
      <w:r w:rsidRPr="00F71E4C">
        <w:t xml:space="preserve"> </w:t>
      </w:r>
      <w:proofErr w:type="spellStart"/>
      <w:r w:rsidRPr="00F71E4C">
        <w:t>Gwaay.yaay</w:t>
      </w:r>
      <w:proofErr w:type="spellEnd"/>
      <w:r w:rsidRPr="00F71E4C">
        <w:t xml:space="preserve"> (Gordon Islands) to 52°05.884’N and 131°09.283’W, thence southeasterly to 52°05.806’N and 131°09.208’W, thence easterly following the shoreline of </w:t>
      </w:r>
      <w:proofErr w:type="spellStart"/>
      <w:r w:rsidRPr="00F71E4C">
        <w:t>Sii.niihl</w:t>
      </w:r>
      <w:proofErr w:type="spellEnd"/>
      <w:r w:rsidRPr="00F71E4C">
        <w:t xml:space="preserve"> </w:t>
      </w:r>
      <w:proofErr w:type="spellStart"/>
      <w:r w:rsidRPr="00F71E4C">
        <w:t>Gwaay.yaay</w:t>
      </w:r>
      <w:proofErr w:type="spellEnd"/>
      <w:r w:rsidRPr="00F71E4C">
        <w:t xml:space="preserve"> (Gordon Islands) to 52°05.787’N and 131°09.097’W, thence northeasterly to the shoreline of </w:t>
      </w:r>
      <w:proofErr w:type="spellStart"/>
      <w:r w:rsidRPr="00F71E4C">
        <w:t>Sii.niihl</w:t>
      </w:r>
      <w:proofErr w:type="spellEnd"/>
      <w:r w:rsidRPr="00F71E4C">
        <w:t xml:space="preserve"> </w:t>
      </w:r>
      <w:proofErr w:type="spellStart"/>
      <w:r w:rsidRPr="00F71E4C">
        <w:t>Gwaay.yaay</w:t>
      </w:r>
      <w:proofErr w:type="spellEnd"/>
      <w:r w:rsidRPr="00F71E4C">
        <w:t xml:space="preserve"> (Gordon Islands) at 52°05.788’N and 131°08.938’W, thence easterly following the shoreline and thence crossing the channel to 52°05.778’N and 131°08.861’W, thence southeasterly following the shoreline to 52°05.741’N and 131°08.788’W, thence following the shoreline of </w:t>
      </w:r>
      <w:proofErr w:type="spellStart"/>
      <w:r w:rsidRPr="00F71E4C">
        <w:t>Sii.niihl</w:t>
      </w:r>
      <w:proofErr w:type="spellEnd"/>
      <w:r w:rsidRPr="00F71E4C">
        <w:t xml:space="preserve"> </w:t>
      </w:r>
      <w:proofErr w:type="spellStart"/>
      <w:r w:rsidRPr="00F71E4C">
        <w:t>Gwaay.yaay</w:t>
      </w:r>
      <w:proofErr w:type="spellEnd"/>
      <w:r w:rsidRPr="00F71E4C">
        <w:t xml:space="preserve"> (Gordon Islands) to 52°05.708’N and 131°08.697’W, thence easterly across the channel to 52°05.709’N and 131°08.673’W, thence southerly following the shoreline of </w:t>
      </w:r>
      <w:proofErr w:type="spellStart"/>
      <w:r w:rsidRPr="00F71E4C">
        <w:t>Sii.niihl</w:t>
      </w:r>
      <w:proofErr w:type="spellEnd"/>
      <w:r w:rsidRPr="00F71E4C">
        <w:t xml:space="preserve"> </w:t>
      </w:r>
      <w:proofErr w:type="spellStart"/>
      <w:r w:rsidRPr="00F71E4C">
        <w:t>Gwaay.yaay</w:t>
      </w:r>
      <w:proofErr w:type="spellEnd"/>
      <w:r w:rsidRPr="00F71E4C">
        <w:t xml:space="preserve"> (Gordon Islands) to 52°05.468’N and 131°08.425’W, thence southeasterly to a point on the western shoreline of </w:t>
      </w:r>
      <w:proofErr w:type="spellStart"/>
      <w:r w:rsidRPr="00F71E4C">
        <w:t>Gangxid</w:t>
      </w:r>
      <w:proofErr w:type="spellEnd"/>
      <w:r w:rsidRPr="00F71E4C">
        <w:t xml:space="preserve"> </w:t>
      </w:r>
      <w:proofErr w:type="spellStart"/>
      <w:r w:rsidRPr="00F71E4C">
        <w:t>Gwaay.yaay</w:t>
      </w:r>
      <w:proofErr w:type="spellEnd"/>
      <w:r w:rsidRPr="00F71E4C">
        <w:t xml:space="preserve"> (</w:t>
      </w:r>
      <w:proofErr w:type="spellStart"/>
      <w:r w:rsidRPr="00F71E4C">
        <w:t>Kunghit</w:t>
      </w:r>
      <w:proofErr w:type="spellEnd"/>
      <w:r w:rsidRPr="00F71E4C">
        <w:t xml:space="preserve"> Island) at 52°04.414’N and 131°07.720’W, thence northerly and southerly following the shoreline of </w:t>
      </w:r>
      <w:proofErr w:type="spellStart"/>
      <w:r w:rsidRPr="00F71E4C">
        <w:t>Gangxid</w:t>
      </w:r>
      <w:proofErr w:type="spellEnd"/>
      <w:r w:rsidRPr="00F71E4C">
        <w:t xml:space="preserve"> </w:t>
      </w:r>
      <w:proofErr w:type="spellStart"/>
      <w:r w:rsidRPr="00F71E4C">
        <w:t>Gwaay.yaay</w:t>
      </w:r>
      <w:proofErr w:type="spellEnd"/>
      <w:r w:rsidRPr="00F71E4C">
        <w:t xml:space="preserve"> (</w:t>
      </w:r>
      <w:proofErr w:type="spellStart"/>
      <w:r w:rsidRPr="00F71E4C">
        <w:t>Kunghit</w:t>
      </w:r>
      <w:proofErr w:type="spellEnd"/>
      <w:r w:rsidRPr="00F71E4C">
        <w:t xml:space="preserve"> Island) to 52°04.366’N and131° 07.720’W, thence southwesterly to a point in water at 52°03.175’N and 131°14.399’W, thence northwesterly to a point in water at 52°05.826’N and 131°17.913’W, and thence northeasterly back to the beginning point. [</w:t>
      </w:r>
      <w:proofErr w:type="spellStart"/>
      <w:r w:rsidRPr="00F71E4C">
        <w:t>SGang</w:t>
      </w:r>
      <w:proofErr w:type="spellEnd"/>
      <w:r w:rsidRPr="00F71E4C">
        <w:t xml:space="preserve"> </w:t>
      </w:r>
      <w:proofErr w:type="spellStart"/>
      <w:r w:rsidRPr="00F71E4C">
        <w:t>Gwaay</w:t>
      </w:r>
      <w:proofErr w:type="spellEnd"/>
      <w:r w:rsidRPr="00F71E4C">
        <w:t xml:space="preserve"> (Wailing Island)]</w:t>
      </w:r>
    </w:p>
    <w:p w14:paraId="595D69BA" w14:textId="77777777" w:rsidR="00294C8C" w:rsidRPr="00F71E4C" w:rsidRDefault="00294C8C" w:rsidP="00294C8C">
      <w:pPr>
        <w:pStyle w:val="Heading4"/>
      </w:pPr>
      <w:r w:rsidRPr="00F71E4C">
        <w:t xml:space="preserve">South </w:t>
      </w:r>
      <w:proofErr w:type="spellStart"/>
      <w:r w:rsidRPr="00F71E4C">
        <w:t>Kunghit</w:t>
      </w:r>
      <w:proofErr w:type="spellEnd"/>
      <w:r w:rsidRPr="00F71E4C">
        <w:t xml:space="preserve"> Island: Those waters of Subareas 2-19, 102-3, 130-3 and 142-1 inside a line commencing at a point on the western shoreline of </w:t>
      </w:r>
      <w:proofErr w:type="spellStart"/>
      <w:r w:rsidRPr="00F71E4C">
        <w:t>Gangxid</w:t>
      </w:r>
      <w:proofErr w:type="spellEnd"/>
      <w:r w:rsidRPr="00F71E4C">
        <w:t xml:space="preserve"> </w:t>
      </w:r>
      <w:proofErr w:type="spellStart"/>
      <w:r w:rsidRPr="00F71E4C">
        <w:t>Tllgaay</w:t>
      </w:r>
      <w:proofErr w:type="spellEnd"/>
      <w:r w:rsidRPr="00F71E4C">
        <w:t xml:space="preserve"> (South </w:t>
      </w:r>
      <w:proofErr w:type="spellStart"/>
      <w:r w:rsidRPr="00F71E4C">
        <w:t>Kunghit</w:t>
      </w:r>
      <w:proofErr w:type="spellEnd"/>
      <w:r w:rsidRPr="00F71E4C">
        <w:t xml:space="preserve"> Island) at 51°57.689’N and 131°03.375’W easterly following the southern shoreline of </w:t>
      </w:r>
      <w:proofErr w:type="spellStart"/>
      <w:r w:rsidRPr="00F71E4C">
        <w:t>Gangxid</w:t>
      </w:r>
      <w:proofErr w:type="spellEnd"/>
      <w:r w:rsidRPr="00F71E4C">
        <w:t xml:space="preserve"> </w:t>
      </w:r>
      <w:proofErr w:type="spellStart"/>
      <w:r w:rsidRPr="00F71E4C">
        <w:t>Tllgaay</w:t>
      </w:r>
      <w:proofErr w:type="spellEnd"/>
      <w:r w:rsidRPr="00F71E4C">
        <w:t xml:space="preserve"> (South </w:t>
      </w:r>
      <w:proofErr w:type="spellStart"/>
      <w:r w:rsidRPr="00F71E4C">
        <w:t>Kunghit</w:t>
      </w:r>
      <w:proofErr w:type="spellEnd"/>
      <w:r w:rsidRPr="00F71E4C">
        <w:t xml:space="preserve"> Island) to 52°00.343’N and 130°59.788’W, thence southeasterly to a point in water at 51°50.163’N and 130°53.208’W, thence southwesterly to a point in water at 51°47.954’N and 130°53.612’W, thence northwesterly to a point in water at 51°54.940’N and 131°07.779’W, and thence northeasterly to the beginning point. [</w:t>
      </w:r>
      <w:proofErr w:type="spellStart"/>
      <w:r w:rsidRPr="00F71E4C">
        <w:t>Gangxid</w:t>
      </w:r>
      <w:proofErr w:type="spellEnd"/>
      <w:r w:rsidRPr="00F71E4C">
        <w:t xml:space="preserve"> </w:t>
      </w:r>
      <w:proofErr w:type="spellStart"/>
      <w:r w:rsidRPr="00F71E4C">
        <w:t>Tllgaay</w:t>
      </w:r>
      <w:proofErr w:type="spellEnd"/>
      <w:r w:rsidRPr="00F71E4C">
        <w:t xml:space="preserve"> (South </w:t>
      </w:r>
      <w:proofErr w:type="spellStart"/>
      <w:r w:rsidRPr="00F71E4C">
        <w:t>Kunghit</w:t>
      </w:r>
      <w:proofErr w:type="spellEnd"/>
      <w:r w:rsidRPr="00F71E4C">
        <w:t xml:space="preserve"> Island)]</w:t>
      </w:r>
    </w:p>
    <w:p w14:paraId="6FADE1B4" w14:textId="77777777" w:rsidR="00294C8C" w:rsidRPr="00F71E4C" w:rsidRDefault="00294C8C" w:rsidP="00294C8C">
      <w:pPr>
        <w:pStyle w:val="Heading4"/>
      </w:pPr>
      <w:r w:rsidRPr="00F71E4C">
        <w:t xml:space="preserve">Lyman Point to Receiver Point: Those waters of Subareas 102-2 and 102-3 inside a line commencing at a point on land of </w:t>
      </w:r>
      <w:proofErr w:type="spellStart"/>
      <w:r w:rsidRPr="00F71E4C">
        <w:t>Kildaga</w:t>
      </w:r>
      <w:proofErr w:type="spellEnd"/>
      <w:r w:rsidRPr="00F71E4C">
        <w:t xml:space="preserve"> </w:t>
      </w:r>
      <w:proofErr w:type="spellStart"/>
      <w:r w:rsidRPr="00F71E4C">
        <w:t>T’awts’iiGaay</w:t>
      </w:r>
      <w:proofErr w:type="spellEnd"/>
      <w:r w:rsidRPr="00F71E4C">
        <w:t xml:space="preserve"> (unnamed islet) at 52°04.541’N and 130°56.293’W following the shoreline of the islet to 52°04.591’N and 130°56.348’W, thence northwesterly to the eastern shoreline of </w:t>
      </w:r>
      <w:proofErr w:type="spellStart"/>
      <w:r w:rsidRPr="00F71E4C">
        <w:t>Gangxid</w:t>
      </w:r>
      <w:proofErr w:type="spellEnd"/>
      <w:r w:rsidRPr="00F71E4C">
        <w:t xml:space="preserve"> </w:t>
      </w:r>
      <w:proofErr w:type="spellStart"/>
      <w:r w:rsidRPr="00F71E4C">
        <w:t>Gwaay.yaay</w:t>
      </w:r>
      <w:proofErr w:type="spellEnd"/>
      <w:r w:rsidRPr="00F71E4C">
        <w:t xml:space="preserve"> (</w:t>
      </w:r>
      <w:proofErr w:type="spellStart"/>
      <w:r w:rsidRPr="00F71E4C">
        <w:t>Kunghit</w:t>
      </w:r>
      <w:proofErr w:type="spellEnd"/>
      <w:r w:rsidRPr="00F71E4C">
        <w:t xml:space="preserve"> Island) at 52°04.652’N and 130°56.414’W, thence northerly following the eastern shoreline of </w:t>
      </w:r>
      <w:proofErr w:type="spellStart"/>
      <w:r w:rsidRPr="00F71E4C">
        <w:t>Gangxid</w:t>
      </w:r>
      <w:proofErr w:type="spellEnd"/>
      <w:r w:rsidRPr="00F71E4C">
        <w:t xml:space="preserve"> </w:t>
      </w:r>
      <w:proofErr w:type="spellStart"/>
      <w:r w:rsidRPr="00F71E4C">
        <w:t>Gwaay.yaay</w:t>
      </w:r>
      <w:proofErr w:type="spellEnd"/>
      <w:r w:rsidRPr="00F71E4C">
        <w:t xml:space="preserve"> (</w:t>
      </w:r>
      <w:proofErr w:type="spellStart"/>
      <w:r w:rsidRPr="00F71E4C">
        <w:t>Kunghit</w:t>
      </w:r>
      <w:proofErr w:type="spellEnd"/>
      <w:r w:rsidRPr="00F71E4C">
        <w:t xml:space="preserve"> Island) to 52°05.734’N and 130°56.365’W, thence northeasterly to a point in water at 52°10.222’N and 130°49.514’W, thence southwesterly to a point in water at 52°02.635’N and 130°50.918’W, thence northwesterly back to the beginning point. [</w:t>
      </w:r>
      <w:proofErr w:type="spellStart"/>
      <w:r w:rsidRPr="00F71E4C">
        <w:t>Gangxid</w:t>
      </w:r>
      <w:proofErr w:type="spellEnd"/>
      <w:r w:rsidRPr="00F71E4C">
        <w:t xml:space="preserve"> </w:t>
      </w:r>
      <w:proofErr w:type="spellStart"/>
      <w:r w:rsidRPr="00F71E4C">
        <w:t>Xyuu</w:t>
      </w:r>
      <w:proofErr w:type="spellEnd"/>
      <w:r w:rsidRPr="00F71E4C">
        <w:t xml:space="preserve"> Kun </w:t>
      </w:r>
      <w:proofErr w:type="spellStart"/>
      <w:r w:rsidRPr="00F71E4C">
        <w:t>sda</w:t>
      </w:r>
      <w:proofErr w:type="spellEnd"/>
      <w:r w:rsidRPr="00F71E4C">
        <w:t xml:space="preserve"> Kan ’</w:t>
      </w:r>
      <w:proofErr w:type="spellStart"/>
      <w:r w:rsidRPr="00F71E4C">
        <w:t>Láas</w:t>
      </w:r>
      <w:proofErr w:type="spellEnd"/>
      <w:r w:rsidRPr="00F71E4C">
        <w:t xml:space="preserve"> Kun (Lyman Point to Receiver Point)]</w:t>
      </w:r>
    </w:p>
    <w:p w14:paraId="7CB8AE1F" w14:textId="77777777" w:rsidR="00294C8C" w:rsidRPr="00F71E4C" w:rsidRDefault="00294C8C" w:rsidP="00294C8C">
      <w:pPr>
        <w:pStyle w:val="Heading4"/>
      </w:pPr>
      <w:r w:rsidRPr="00F71E4C">
        <w:t xml:space="preserve">Benjamin Point: Those waters of Subareas 2-17, 2-18 and 102-2 inside a line commencing at a point on the eastern shoreline of </w:t>
      </w:r>
      <w:proofErr w:type="spellStart"/>
      <w:r w:rsidRPr="00F71E4C">
        <w:t>T’aaxwii</w:t>
      </w:r>
      <w:proofErr w:type="spellEnd"/>
      <w:r w:rsidRPr="00F71E4C">
        <w:t xml:space="preserve"> </w:t>
      </w:r>
      <w:proofErr w:type="spellStart"/>
      <w:r w:rsidRPr="00F71E4C">
        <w:t>XaaydaGa</w:t>
      </w:r>
      <w:proofErr w:type="spellEnd"/>
      <w:r w:rsidRPr="00F71E4C">
        <w:t xml:space="preserve"> </w:t>
      </w:r>
      <w:proofErr w:type="spellStart"/>
      <w:r w:rsidRPr="00F71E4C">
        <w:t>Gwaay.yaay</w:t>
      </w:r>
      <w:proofErr w:type="spellEnd"/>
      <w:r w:rsidRPr="00F71E4C">
        <w:t xml:space="preserve"> </w:t>
      </w:r>
      <w:proofErr w:type="spellStart"/>
      <w:r w:rsidRPr="00F71E4C">
        <w:t>iinaGwaay</w:t>
      </w:r>
      <w:proofErr w:type="spellEnd"/>
      <w:r w:rsidRPr="00F71E4C">
        <w:t xml:space="preserve"> (Moresby Island) at 52°10.262’N and 131°01.993’W northerly following the eastern shoreline to 52°13.232’N and 131°00.777’W, thence northeasterly to a point in water at 52°17.735’N and 130°55.064’W, thence southeasterly to a point in water at 52°12.476’N and 130°49.103’W, and thence southwesterly back to the beginning point. [</w:t>
      </w:r>
      <w:proofErr w:type="spellStart"/>
      <w:r w:rsidRPr="00F71E4C">
        <w:t>Kayjuu</w:t>
      </w:r>
      <w:proofErr w:type="spellEnd"/>
      <w:r w:rsidRPr="00F71E4C">
        <w:t xml:space="preserve"> Kun (Benjamin Point)]</w:t>
      </w:r>
    </w:p>
    <w:p w14:paraId="53FCE5A7" w14:textId="77777777" w:rsidR="00294C8C" w:rsidRPr="00F71E4C" w:rsidRDefault="00294C8C" w:rsidP="00294C8C">
      <w:pPr>
        <w:pStyle w:val="Heading4"/>
      </w:pPr>
      <w:r w:rsidRPr="00F71E4C">
        <w:lastRenderedPageBreak/>
        <w:t xml:space="preserve">Head of Flamingo Inlet: Those waters of Subarea 2-37 north of a line drawn from a point on </w:t>
      </w:r>
      <w:proofErr w:type="spellStart"/>
      <w:r w:rsidRPr="00F71E4C">
        <w:t>T’aaxwii</w:t>
      </w:r>
      <w:proofErr w:type="spellEnd"/>
      <w:r w:rsidRPr="00F71E4C">
        <w:t xml:space="preserve"> </w:t>
      </w:r>
      <w:proofErr w:type="spellStart"/>
      <w:r w:rsidRPr="00F71E4C">
        <w:t>XaaydaGa</w:t>
      </w:r>
      <w:proofErr w:type="spellEnd"/>
      <w:r w:rsidRPr="00F71E4C">
        <w:t xml:space="preserve"> </w:t>
      </w:r>
      <w:proofErr w:type="spellStart"/>
      <w:r w:rsidRPr="00F71E4C">
        <w:t>Gwaay.yaay</w:t>
      </w:r>
      <w:proofErr w:type="spellEnd"/>
      <w:r w:rsidRPr="00F71E4C">
        <w:t xml:space="preserve"> </w:t>
      </w:r>
      <w:proofErr w:type="spellStart"/>
      <w:r w:rsidRPr="00F71E4C">
        <w:t>iinaGwaay</w:t>
      </w:r>
      <w:proofErr w:type="spellEnd"/>
      <w:r w:rsidRPr="00F71E4C">
        <w:t xml:space="preserve"> (Moresby Island) at 52°14.455’N and 131°22.232’W southeasterly across </w:t>
      </w:r>
      <w:proofErr w:type="spellStart"/>
      <w:r w:rsidRPr="00F71E4C">
        <w:t>St’aa</w:t>
      </w:r>
      <w:proofErr w:type="spellEnd"/>
      <w:r w:rsidRPr="00F71E4C">
        <w:t xml:space="preserve"> </w:t>
      </w:r>
      <w:proofErr w:type="spellStart"/>
      <w:r w:rsidRPr="00F71E4C">
        <w:t>K’ii</w:t>
      </w:r>
      <w:proofErr w:type="spellEnd"/>
      <w:r w:rsidRPr="00F71E4C">
        <w:t xml:space="preserve"> </w:t>
      </w:r>
      <w:proofErr w:type="spellStart"/>
      <w:r w:rsidRPr="00F71E4C">
        <w:t>GawGa</w:t>
      </w:r>
      <w:proofErr w:type="spellEnd"/>
      <w:r w:rsidRPr="00F71E4C">
        <w:t xml:space="preserve"> (Flamingo Inlet) to a point on land on the opposite shore at 52°14.228’N and 131°21.503’W. [</w:t>
      </w:r>
      <w:proofErr w:type="spellStart"/>
      <w:r w:rsidRPr="00F71E4C">
        <w:t>St’aa</w:t>
      </w:r>
      <w:proofErr w:type="spellEnd"/>
      <w:r w:rsidRPr="00F71E4C">
        <w:t xml:space="preserve"> </w:t>
      </w:r>
      <w:proofErr w:type="spellStart"/>
      <w:r w:rsidRPr="00F71E4C">
        <w:t>K’ii</w:t>
      </w:r>
      <w:proofErr w:type="spellEnd"/>
      <w:r w:rsidRPr="00F71E4C">
        <w:t xml:space="preserve"> </w:t>
      </w:r>
      <w:proofErr w:type="spellStart"/>
      <w:r w:rsidRPr="00F71E4C">
        <w:t>GawGa</w:t>
      </w:r>
      <w:proofErr w:type="spellEnd"/>
      <w:r w:rsidRPr="00F71E4C">
        <w:t xml:space="preserve"> (Flamingo Inlet) – Head]</w:t>
      </w:r>
    </w:p>
    <w:p w14:paraId="28032464" w14:textId="77777777" w:rsidR="00294C8C" w:rsidRPr="00F71E4C" w:rsidRDefault="00294C8C" w:rsidP="00294C8C">
      <w:pPr>
        <w:pStyle w:val="Heading4"/>
      </w:pPr>
      <w:r w:rsidRPr="00F71E4C">
        <w:t xml:space="preserve">Head of </w:t>
      </w:r>
      <w:proofErr w:type="spellStart"/>
      <w:r w:rsidRPr="00F71E4C">
        <w:t>Louscoone</w:t>
      </w:r>
      <w:proofErr w:type="spellEnd"/>
      <w:r w:rsidRPr="00F71E4C">
        <w:t xml:space="preserve"> Inlet: Those waters of Subarea 2-34 north of a line drawn from a point on land on </w:t>
      </w:r>
      <w:proofErr w:type="spellStart"/>
      <w:r w:rsidRPr="00F71E4C">
        <w:t>T’aaxwii</w:t>
      </w:r>
      <w:proofErr w:type="spellEnd"/>
      <w:r w:rsidRPr="00F71E4C">
        <w:t xml:space="preserve"> </w:t>
      </w:r>
      <w:proofErr w:type="spellStart"/>
      <w:r w:rsidRPr="00F71E4C">
        <w:t>XaaydaGa</w:t>
      </w:r>
      <w:proofErr w:type="spellEnd"/>
      <w:r w:rsidRPr="00F71E4C">
        <w:t xml:space="preserve"> </w:t>
      </w:r>
      <w:proofErr w:type="spellStart"/>
      <w:r w:rsidRPr="00F71E4C">
        <w:t>Gwaay.yaay</w:t>
      </w:r>
      <w:proofErr w:type="spellEnd"/>
      <w:r w:rsidRPr="00F71E4C">
        <w:t xml:space="preserve"> </w:t>
      </w:r>
      <w:proofErr w:type="spellStart"/>
      <w:r w:rsidRPr="00F71E4C">
        <w:t>iinaGwaay</w:t>
      </w:r>
      <w:proofErr w:type="spellEnd"/>
      <w:r w:rsidRPr="00F71E4C">
        <w:t xml:space="preserve"> (Moresby Island) at 52°11.841’N and 131°15.670’W northeasterly across the inlet to a point on the opposite shoreline of </w:t>
      </w:r>
      <w:proofErr w:type="spellStart"/>
      <w:r w:rsidRPr="00F71E4C">
        <w:t>GawGajaang</w:t>
      </w:r>
      <w:proofErr w:type="spellEnd"/>
      <w:r w:rsidRPr="00F71E4C">
        <w:t xml:space="preserve"> (</w:t>
      </w:r>
      <w:proofErr w:type="spellStart"/>
      <w:r w:rsidRPr="00F71E4C">
        <w:t>Louscoone</w:t>
      </w:r>
      <w:proofErr w:type="spellEnd"/>
      <w:r w:rsidRPr="00F71E4C">
        <w:t xml:space="preserve"> Inlet) at 52°12.245’N and 131°14.568’W. [</w:t>
      </w:r>
      <w:proofErr w:type="spellStart"/>
      <w:r w:rsidRPr="00F71E4C">
        <w:t>GawGajaang</w:t>
      </w:r>
      <w:proofErr w:type="spellEnd"/>
      <w:r w:rsidRPr="00F71E4C">
        <w:t xml:space="preserve"> (</w:t>
      </w:r>
      <w:proofErr w:type="spellStart"/>
      <w:r w:rsidRPr="00F71E4C">
        <w:t>Louscoone</w:t>
      </w:r>
      <w:proofErr w:type="spellEnd"/>
      <w:r w:rsidRPr="00F71E4C">
        <w:t xml:space="preserve"> Inlet) – Head]</w:t>
      </w:r>
    </w:p>
    <w:p w14:paraId="1B97D950" w14:textId="77777777" w:rsidR="00294C8C" w:rsidRPr="00F71E4C" w:rsidRDefault="00294C8C" w:rsidP="00294C8C">
      <w:pPr>
        <w:pStyle w:val="Heading4"/>
      </w:pPr>
      <w:r w:rsidRPr="00F71E4C">
        <w:t xml:space="preserve">Head of Rose Inlet: Those waters of Subarea 2-18 north of a line drawn from the western shoreline of </w:t>
      </w:r>
      <w:proofErr w:type="spellStart"/>
      <w:r w:rsidRPr="00F71E4C">
        <w:t>K’insiGid</w:t>
      </w:r>
      <w:proofErr w:type="spellEnd"/>
      <w:r w:rsidRPr="00F71E4C">
        <w:t xml:space="preserve"> (Rose Inlet) on </w:t>
      </w:r>
      <w:proofErr w:type="spellStart"/>
      <w:r w:rsidRPr="00F71E4C">
        <w:t>T’aaxwii</w:t>
      </w:r>
      <w:proofErr w:type="spellEnd"/>
      <w:r w:rsidRPr="00F71E4C">
        <w:t xml:space="preserve"> </w:t>
      </w:r>
      <w:proofErr w:type="spellStart"/>
      <w:r w:rsidRPr="00F71E4C">
        <w:t>XaaydaGa</w:t>
      </w:r>
      <w:proofErr w:type="spellEnd"/>
      <w:r w:rsidRPr="00F71E4C">
        <w:t xml:space="preserve"> </w:t>
      </w:r>
      <w:proofErr w:type="spellStart"/>
      <w:r w:rsidRPr="00F71E4C">
        <w:t>Gwaay.yaay</w:t>
      </w:r>
      <w:proofErr w:type="spellEnd"/>
      <w:r w:rsidRPr="00F71E4C">
        <w:t xml:space="preserve"> </w:t>
      </w:r>
      <w:proofErr w:type="spellStart"/>
      <w:r w:rsidRPr="00F71E4C">
        <w:t>iinaGwaay</w:t>
      </w:r>
      <w:proofErr w:type="spellEnd"/>
      <w:r w:rsidRPr="00F71E4C">
        <w:t xml:space="preserve"> (Moresby Island) at 52°11.327’N and 131°08.370’W northeasterly across the inlet to a point on the opposite shore at 52°11.328’N and 131°07.115’W. [</w:t>
      </w:r>
      <w:proofErr w:type="spellStart"/>
      <w:r w:rsidRPr="00F71E4C">
        <w:t>K’insiGid</w:t>
      </w:r>
      <w:proofErr w:type="spellEnd"/>
      <w:r w:rsidRPr="00F71E4C">
        <w:t xml:space="preserve"> (Rose Inlet) – Head]</w:t>
      </w:r>
    </w:p>
    <w:p w14:paraId="2B788265" w14:textId="77777777" w:rsidR="00294C8C" w:rsidRPr="00F71E4C" w:rsidRDefault="00294C8C" w:rsidP="00294C8C">
      <w:pPr>
        <w:pStyle w:val="Heading4"/>
      </w:pPr>
      <w:r w:rsidRPr="00F71E4C">
        <w:t xml:space="preserve">Head of Huston Inlet: Those waters of Subarea 2-15 south of a line drawn from a point on the western shoreline of </w:t>
      </w:r>
      <w:proofErr w:type="spellStart"/>
      <w:r w:rsidRPr="00F71E4C">
        <w:t>GawGan</w:t>
      </w:r>
      <w:proofErr w:type="spellEnd"/>
      <w:r w:rsidRPr="00F71E4C">
        <w:t xml:space="preserve"> (Huston Inlet) at 52°15.732’N and 131°15.643’W northeasterly across the inlet to a point on the opposite shore at 52°16.111’N and 131°14.231’W. [</w:t>
      </w:r>
      <w:proofErr w:type="spellStart"/>
      <w:r w:rsidRPr="00F71E4C">
        <w:t>GawGan</w:t>
      </w:r>
      <w:proofErr w:type="spellEnd"/>
      <w:r w:rsidRPr="00F71E4C">
        <w:t xml:space="preserve"> (Huston Inlet) – Head]</w:t>
      </w:r>
    </w:p>
    <w:p w14:paraId="492F163C" w14:textId="77777777" w:rsidR="00294C8C" w:rsidRPr="00F71E4C" w:rsidRDefault="00294C8C" w:rsidP="00294C8C">
      <w:pPr>
        <w:pStyle w:val="Heading4"/>
      </w:pPr>
      <w:proofErr w:type="spellStart"/>
      <w:r w:rsidRPr="00F71E4C">
        <w:t>Skincuttle</w:t>
      </w:r>
      <w:proofErr w:type="spellEnd"/>
      <w:r w:rsidRPr="00F71E4C">
        <w:t xml:space="preserve"> Inlet to Burnaby Island: Those waters of Subareas 2-13 to 2-16 and 102-2 inside a line commencing at a point on the eastern shoreline of </w:t>
      </w:r>
      <w:proofErr w:type="spellStart"/>
      <w:r w:rsidRPr="00F71E4C">
        <w:t>SGwaay</w:t>
      </w:r>
      <w:proofErr w:type="spellEnd"/>
      <w:r w:rsidRPr="00F71E4C">
        <w:t xml:space="preserve"> Kun </w:t>
      </w:r>
      <w:proofErr w:type="spellStart"/>
      <w:r w:rsidRPr="00F71E4C">
        <w:t>Gwaay.yaay</w:t>
      </w:r>
      <w:proofErr w:type="spellEnd"/>
      <w:r w:rsidRPr="00F71E4C">
        <w:t xml:space="preserve"> (Burnaby Island) at 52°26.521’N and 131°14.153’W southeasterly to a point in water at 52°25.979’N and 131°04.470’W, thence southeasterly to a point in water at 52°22.829’N and 131°00.867’W, thence southwesterly to a point on the eastern shoreline of </w:t>
      </w:r>
      <w:proofErr w:type="spellStart"/>
      <w:r w:rsidRPr="00F71E4C">
        <w:t>T’aaxwii</w:t>
      </w:r>
      <w:proofErr w:type="spellEnd"/>
      <w:r w:rsidRPr="00F71E4C">
        <w:t xml:space="preserve"> </w:t>
      </w:r>
      <w:proofErr w:type="spellStart"/>
      <w:r w:rsidRPr="00F71E4C">
        <w:t>XaaydaGa</w:t>
      </w:r>
      <w:proofErr w:type="spellEnd"/>
      <w:r w:rsidRPr="00F71E4C">
        <w:t xml:space="preserve"> </w:t>
      </w:r>
      <w:proofErr w:type="spellStart"/>
      <w:r w:rsidRPr="00F71E4C">
        <w:t>Gwaay.yaay</w:t>
      </w:r>
      <w:proofErr w:type="spellEnd"/>
      <w:r w:rsidRPr="00F71E4C">
        <w:t xml:space="preserve"> </w:t>
      </w:r>
      <w:proofErr w:type="spellStart"/>
      <w:r w:rsidRPr="00F71E4C">
        <w:t>iinaGwaay</w:t>
      </w:r>
      <w:proofErr w:type="spellEnd"/>
      <w:r w:rsidRPr="00F71E4C">
        <w:t xml:space="preserve"> (Moresby Island) at 52°18.124’N and 131°18.347’W, thence northerly following the eastern shoreline of </w:t>
      </w:r>
      <w:proofErr w:type="spellStart"/>
      <w:r w:rsidRPr="00F71E4C">
        <w:t>T’aaxwii</w:t>
      </w:r>
      <w:proofErr w:type="spellEnd"/>
      <w:r w:rsidRPr="00F71E4C">
        <w:t xml:space="preserve"> </w:t>
      </w:r>
      <w:proofErr w:type="spellStart"/>
      <w:r w:rsidRPr="00F71E4C">
        <w:t>XaaydaGa</w:t>
      </w:r>
      <w:proofErr w:type="spellEnd"/>
      <w:r w:rsidRPr="00F71E4C">
        <w:t xml:space="preserve"> </w:t>
      </w:r>
      <w:proofErr w:type="spellStart"/>
      <w:r w:rsidRPr="00F71E4C">
        <w:t>Gwaay.yaay</w:t>
      </w:r>
      <w:proofErr w:type="spellEnd"/>
      <w:r w:rsidRPr="00F71E4C">
        <w:t xml:space="preserve"> </w:t>
      </w:r>
      <w:proofErr w:type="spellStart"/>
      <w:r w:rsidRPr="00F71E4C">
        <w:t>iinaGwaay</w:t>
      </w:r>
      <w:proofErr w:type="spellEnd"/>
      <w:r w:rsidRPr="00F71E4C">
        <w:t xml:space="preserve"> (Moresby Island) to 52°23.055’N and 131°23.441’W, thence northeasterly to the western shoreline of </w:t>
      </w:r>
      <w:proofErr w:type="spellStart"/>
      <w:r w:rsidRPr="00F71E4C">
        <w:t>Gwaay</w:t>
      </w:r>
      <w:proofErr w:type="spellEnd"/>
      <w:r w:rsidRPr="00F71E4C">
        <w:t xml:space="preserve"> </w:t>
      </w:r>
      <w:proofErr w:type="spellStart"/>
      <w:r w:rsidRPr="00F71E4C">
        <w:t>GudgiiGaagid</w:t>
      </w:r>
      <w:proofErr w:type="spellEnd"/>
      <w:r w:rsidRPr="00F71E4C">
        <w:t xml:space="preserve"> (Kat Island) at 52°23.082’N and 131°22.916’W, thence easterly following the southern shoreline of </w:t>
      </w:r>
      <w:proofErr w:type="spellStart"/>
      <w:r w:rsidRPr="00F71E4C">
        <w:t>Gwaay</w:t>
      </w:r>
      <w:proofErr w:type="spellEnd"/>
      <w:r w:rsidRPr="00F71E4C">
        <w:t xml:space="preserve"> </w:t>
      </w:r>
      <w:proofErr w:type="spellStart"/>
      <w:r w:rsidRPr="00F71E4C">
        <w:t>GudgiiGaagid</w:t>
      </w:r>
      <w:proofErr w:type="spellEnd"/>
      <w:r w:rsidRPr="00F71E4C">
        <w:t xml:space="preserve"> (Kat Island) to 52°23.147’N and 131°22.260’W, thence northeasterly to the western shoreline of </w:t>
      </w:r>
      <w:proofErr w:type="spellStart"/>
      <w:r w:rsidRPr="00F71E4C">
        <w:t>SGwaay</w:t>
      </w:r>
      <w:proofErr w:type="spellEnd"/>
      <w:r w:rsidRPr="00F71E4C">
        <w:t xml:space="preserve"> Kun </w:t>
      </w:r>
      <w:proofErr w:type="spellStart"/>
      <w:r w:rsidRPr="00F71E4C">
        <w:t>Gwaay.yaay</w:t>
      </w:r>
      <w:proofErr w:type="spellEnd"/>
      <w:r w:rsidRPr="00F71E4C">
        <w:t xml:space="preserve"> (Burnaby Island) at 52°23.276’N and 131°21.333’W, thence southerly following the western shoreline of </w:t>
      </w:r>
      <w:proofErr w:type="spellStart"/>
      <w:r w:rsidRPr="00F71E4C">
        <w:t>SGwaay</w:t>
      </w:r>
      <w:proofErr w:type="spellEnd"/>
      <w:r w:rsidRPr="00F71E4C">
        <w:t xml:space="preserve"> Kun </w:t>
      </w:r>
      <w:proofErr w:type="spellStart"/>
      <w:r w:rsidRPr="00F71E4C">
        <w:t>Gwaay.yaay</w:t>
      </w:r>
      <w:proofErr w:type="spellEnd"/>
      <w:r w:rsidRPr="00F71E4C">
        <w:t xml:space="preserve"> (Burnaby Island) to 52°20.949’N and 131°15.569’W, thence northeasterly to the easternmost point of </w:t>
      </w:r>
      <w:proofErr w:type="spellStart"/>
      <w:r w:rsidRPr="00F71E4C">
        <w:t>SGwaay</w:t>
      </w:r>
      <w:proofErr w:type="spellEnd"/>
      <w:r w:rsidRPr="00F71E4C">
        <w:t xml:space="preserve"> Kun </w:t>
      </w:r>
      <w:proofErr w:type="spellStart"/>
      <w:r w:rsidRPr="00F71E4C">
        <w:t>Gwaay.yaay</w:t>
      </w:r>
      <w:proofErr w:type="spellEnd"/>
      <w:r w:rsidRPr="00F71E4C">
        <w:t xml:space="preserve"> (Burnaby Island) at 52°22.315’N and 131°14.689’W, thence following the western shoreline of </w:t>
      </w:r>
      <w:proofErr w:type="spellStart"/>
      <w:r w:rsidRPr="00F71E4C">
        <w:t>SGwaay</w:t>
      </w:r>
      <w:proofErr w:type="spellEnd"/>
      <w:r w:rsidRPr="00F71E4C">
        <w:t xml:space="preserve"> Kun </w:t>
      </w:r>
      <w:proofErr w:type="spellStart"/>
      <w:r w:rsidRPr="00F71E4C">
        <w:t>Gwaay.yaay</w:t>
      </w:r>
      <w:proofErr w:type="spellEnd"/>
      <w:r w:rsidRPr="00F71E4C">
        <w:t xml:space="preserve"> (Burnaby Island) to 52°22.377’N and 131°14.683’W, thence northwesterly to a point on the eastern shoreline of </w:t>
      </w:r>
      <w:proofErr w:type="spellStart"/>
      <w:r w:rsidRPr="00F71E4C">
        <w:t>SGwaay</w:t>
      </w:r>
      <w:proofErr w:type="spellEnd"/>
      <w:r w:rsidRPr="00F71E4C">
        <w:t xml:space="preserve"> Kun </w:t>
      </w:r>
      <w:proofErr w:type="spellStart"/>
      <w:r w:rsidRPr="00F71E4C">
        <w:t>Gwaay.yaay</w:t>
      </w:r>
      <w:proofErr w:type="spellEnd"/>
      <w:r w:rsidRPr="00F71E4C">
        <w:t xml:space="preserve"> (Burnaby Island) at 52°24.494’N and 131°15.832’W, and thence following the eastern shoreline to the beginning point. [Suu </w:t>
      </w:r>
      <w:proofErr w:type="spellStart"/>
      <w:r w:rsidRPr="00F71E4C">
        <w:t>Kaahlii</w:t>
      </w:r>
      <w:proofErr w:type="spellEnd"/>
      <w:r w:rsidRPr="00F71E4C">
        <w:t xml:space="preserve"> </w:t>
      </w:r>
      <w:proofErr w:type="spellStart"/>
      <w:r w:rsidRPr="00F71E4C">
        <w:t>sda</w:t>
      </w:r>
      <w:proofErr w:type="spellEnd"/>
      <w:r w:rsidRPr="00F71E4C">
        <w:t xml:space="preserve"> </w:t>
      </w:r>
      <w:proofErr w:type="spellStart"/>
      <w:r w:rsidRPr="00F71E4C">
        <w:t>SGwaay</w:t>
      </w:r>
      <w:proofErr w:type="spellEnd"/>
      <w:r w:rsidRPr="00F71E4C">
        <w:t xml:space="preserve"> Kun </w:t>
      </w:r>
      <w:proofErr w:type="spellStart"/>
      <w:r w:rsidRPr="00F71E4C">
        <w:t>Gwaay.yaay</w:t>
      </w:r>
      <w:proofErr w:type="spellEnd"/>
      <w:r w:rsidRPr="00F71E4C">
        <w:t xml:space="preserve"> (</w:t>
      </w:r>
      <w:proofErr w:type="spellStart"/>
      <w:r w:rsidRPr="00F71E4C">
        <w:t>Skincuttle</w:t>
      </w:r>
      <w:proofErr w:type="spellEnd"/>
      <w:r w:rsidRPr="00F71E4C">
        <w:t xml:space="preserve"> Inlet to Burnaby Island)]</w:t>
      </w:r>
    </w:p>
    <w:p w14:paraId="2E74E8D2" w14:textId="77777777" w:rsidR="00294C8C" w:rsidRPr="00F71E4C" w:rsidRDefault="00294C8C" w:rsidP="00294C8C">
      <w:pPr>
        <w:pStyle w:val="Heading4"/>
      </w:pPr>
      <w:r w:rsidRPr="00F71E4C">
        <w:t xml:space="preserve">Poole Inlet: Those waters of Subarea 2-14 south of a line drawn from a point on the shoreline of </w:t>
      </w:r>
      <w:proofErr w:type="spellStart"/>
      <w:r w:rsidRPr="00F71E4C">
        <w:t>SGwaay</w:t>
      </w:r>
      <w:proofErr w:type="spellEnd"/>
      <w:r w:rsidRPr="00F71E4C">
        <w:t xml:space="preserve"> Kun </w:t>
      </w:r>
      <w:proofErr w:type="spellStart"/>
      <w:r w:rsidRPr="00F71E4C">
        <w:t>Gwaay.yaay</w:t>
      </w:r>
      <w:proofErr w:type="spellEnd"/>
      <w:r w:rsidRPr="00F71E4C">
        <w:t xml:space="preserve"> (Burnaby Island) in Gid </w:t>
      </w:r>
      <w:proofErr w:type="spellStart"/>
      <w:r w:rsidRPr="00F71E4C">
        <w:t>Gwaa</w:t>
      </w:r>
      <w:proofErr w:type="spellEnd"/>
      <w:r w:rsidRPr="00F71E4C">
        <w:t xml:space="preserve"> </w:t>
      </w:r>
      <w:proofErr w:type="spellStart"/>
      <w:r w:rsidRPr="00F71E4C">
        <w:t>GyaaGa</w:t>
      </w:r>
      <w:proofErr w:type="spellEnd"/>
      <w:r w:rsidRPr="00F71E4C">
        <w:t xml:space="preserve"> </w:t>
      </w:r>
      <w:proofErr w:type="spellStart"/>
      <w:r w:rsidRPr="00F71E4C">
        <w:t>GawGa</w:t>
      </w:r>
      <w:proofErr w:type="spellEnd"/>
      <w:r w:rsidRPr="00F71E4C">
        <w:t xml:space="preserve"> (Poole </w:t>
      </w:r>
      <w:r w:rsidRPr="00F71E4C">
        <w:lastRenderedPageBreak/>
        <w:t xml:space="preserve">Inlet) at 52°22.764’N and 131°18.249’W southeasterly across the inlet to a point on the opposite shore at 52°22.505’N and 131°17.665’W. [Gid </w:t>
      </w:r>
      <w:proofErr w:type="spellStart"/>
      <w:r w:rsidRPr="00F71E4C">
        <w:t>Gwaa</w:t>
      </w:r>
      <w:proofErr w:type="spellEnd"/>
      <w:r w:rsidRPr="00F71E4C">
        <w:t xml:space="preserve"> </w:t>
      </w:r>
      <w:proofErr w:type="spellStart"/>
      <w:r w:rsidRPr="00F71E4C">
        <w:t>GyaaGa</w:t>
      </w:r>
      <w:proofErr w:type="spellEnd"/>
      <w:r w:rsidRPr="00F71E4C">
        <w:t xml:space="preserve"> </w:t>
      </w:r>
      <w:proofErr w:type="spellStart"/>
      <w:r w:rsidRPr="00F71E4C">
        <w:t>GawGa</w:t>
      </w:r>
      <w:proofErr w:type="spellEnd"/>
      <w:r w:rsidRPr="00F71E4C">
        <w:t xml:space="preserve"> (Poole Inlet)]</w:t>
      </w:r>
    </w:p>
    <w:p w14:paraId="56147EC7" w14:textId="77777777" w:rsidR="00294C8C" w:rsidRPr="00F71E4C" w:rsidRDefault="00294C8C" w:rsidP="00294C8C">
      <w:pPr>
        <w:pStyle w:val="Heading4"/>
      </w:pPr>
      <w:r w:rsidRPr="00F71E4C">
        <w:t xml:space="preserve">Mathieson Inlet to Huxley Island: Those waters of Subareas 2-12 and 2-13 inside a line commencing on the eastern shoreline of </w:t>
      </w:r>
      <w:proofErr w:type="spellStart"/>
      <w:r w:rsidRPr="00F71E4C">
        <w:t>T’aaxwii</w:t>
      </w:r>
      <w:proofErr w:type="spellEnd"/>
      <w:r w:rsidRPr="00F71E4C">
        <w:t xml:space="preserve"> </w:t>
      </w:r>
      <w:proofErr w:type="spellStart"/>
      <w:r w:rsidRPr="00F71E4C">
        <w:t>XaaydaGa</w:t>
      </w:r>
      <w:proofErr w:type="spellEnd"/>
      <w:r w:rsidRPr="00F71E4C">
        <w:t xml:space="preserve"> </w:t>
      </w:r>
      <w:proofErr w:type="spellStart"/>
      <w:r w:rsidRPr="00F71E4C">
        <w:t>Gwaay.yaay</w:t>
      </w:r>
      <w:proofErr w:type="spellEnd"/>
      <w:r w:rsidRPr="00F71E4C">
        <w:t xml:space="preserve"> </w:t>
      </w:r>
      <w:proofErr w:type="spellStart"/>
      <w:r w:rsidRPr="00F71E4C">
        <w:t>iinaGwaay</w:t>
      </w:r>
      <w:proofErr w:type="spellEnd"/>
      <w:r w:rsidRPr="00F71E4C">
        <w:t xml:space="preserve"> (Moresby Island) at 52°30.038’N and 131°28.071’W southeasterly to a point on land on </w:t>
      </w:r>
      <w:proofErr w:type="spellStart"/>
      <w:r w:rsidRPr="00F71E4C">
        <w:t>Gwaay</w:t>
      </w:r>
      <w:proofErr w:type="spellEnd"/>
      <w:r w:rsidRPr="00F71E4C">
        <w:t xml:space="preserve"> </w:t>
      </w:r>
      <w:proofErr w:type="spellStart"/>
      <w:r w:rsidRPr="00F71E4C">
        <w:t>Guusdagang</w:t>
      </w:r>
      <w:proofErr w:type="spellEnd"/>
      <w:r w:rsidRPr="00F71E4C">
        <w:t xml:space="preserve"> (All Alone Stone Island) at 52°29.081’N and 131°24.042’W, thence southeasterly to a point on the northern shoreline of </w:t>
      </w:r>
      <w:proofErr w:type="spellStart"/>
      <w:r w:rsidRPr="00F71E4C">
        <w:t>Gaaduu</w:t>
      </w:r>
      <w:proofErr w:type="spellEnd"/>
      <w:r w:rsidRPr="00F71E4C">
        <w:t xml:space="preserve"> </w:t>
      </w:r>
      <w:proofErr w:type="spellStart"/>
      <w:r w:rsidRPr="00F71E4C">
        <w:t>Gwaay</w:t>
      </w:r>
      <w:proofErr w:type="spellEnd"/>
      <w:r w:rsidRPr="00F71E4C">
        <w:t xml:space="preserve"> (Huxley Island) at 52°28.066’N and 131°21.772’W, thence southerly following the western shoreline of </w:t>
      </w:r>
      <w:proofErr w:type="spellStart"/>
      <w:r w:rsidRPr="00F71E4C">
        <w:t>Gaaduu</w:t>
      </w:r>
      <w:proofErr w:type="spellEnd"/>
      <w:r w:rsidRPr="00F71E4C">
        <w:t xml:space="preserve"> </w:t>
      </w:r>
      <w:proofErr w:type="spellStart"/>
      <w:r w:rsidRPr="00F71E4C">
        <w:t>Gwaay</w:t>
      </w:r>
      <w:proofErr w:type="spellEnd"/>
      <w:r w:rsidRPr="00F71E4C">
        <w:t xml:space="preserve"> (Huxley Island) to 52°25.934’N and 131°21.927’W, thence southwesterly to the northern shoreline of </w:t>
      </w:r>
      <w:proofErr w:type="spellStart"/>
      <w:r w:rsidRPr="00F71E4C">
        <w:t>GaysiiGas</w:t>
      </w:r>
      <w:proofErr w:type="spellEnd"/>
      <w:r w:rsidRPr="00F71E4C">
        <w:t xml:space="preserve"> </w:t>
      </w:r>
      <w:proofErr w:type="spellStart"/>
      <w:r w:rsidRPr="00F71E4C">
        <w:t>K’iidsii</w:t>
      </w:r>
      <w:proofErr w:type="spellEnd"/>
      <w:r w:rsidRPr="00F71E4C">
        <w:t xml:space="preserve"> </w:t>
      </w:r>
      <w:proofErr w:type="spellStart"/>
      <w:r w:rsidRPr="00F71E4C">
        <w:t>Gwaay</w:t>
      </w:r>
      <w:proofErr w:type="spellEnd"/>
      <w:r w:rsidRPr="00F71E4C">
        <w:t xml:space="preserve"> (Section Island) at 52°25.435’N and 131°22.425’W, thence westerly following the northern shoreline of </w:t>
      </w:r>
      <w:proofErr w:type="spellStart"/>
      <w:r w:rsidRPr="00F71E4C">
        <w:t>GaysiiGas</w:t>
      </w:r>
      <w:proofErr w:type="spellEnd"/>
      <w:r w:rsidRPr="00F71E4C">
        <w:t xml:space="preserve"> </w:t>
      </w:r>
      <w:proofErr w:type="spellStart"/>
      <w:r w:rsidRPr="00F71E4C">
        <w:t>K’iidsii</w:t>
      </w:r>
      <w:proofErr w:type="spellEnd"/>
      <w:r w:rsidRPr="00F71E4C">
        <w:t xml:space="preserve"> </w:t>
      </w:r>
      <w:proofErr w:type="spellStart"/>
      <w:r w:rsidRPr="00F71E4C">
        <w:t>Gwaay</w:t>
      </w:r>
      <w:proofErr w:type="spellEnd"/>
      <w:r w:rsidRPr="00F71E4C">
        <w:t xml:space="preserve"> (Section Island) to 52°25.460’N and 131°22.513’W, thence northwesterly to a point on the eastern shoreline of </w:t>
      </w:r>
      <w:proofErr w:type="spellStart"/>
      <w:r w:rsidRPr="00F71E4C">
        <w:t>T’aaxwii</w:t>
      </w:r>
      <w:proofErr w:type="spellEnd"/>
      <w:r w:rsidRPr="00F71E4C">
        <w:t xml:space="preserve"> </w:t>
      </w:r>
      <w:proofErr w:type="spellStart"/>
      <w:r w:rsidRPr="00F71E4C">
        <w:t>XaaydaGa</w:t>
      </w:r>
      <w:proofErr w:type="spellEnd"/>
      <w:r w:rsidRPr="00F71E4C">
        <w:t xml:space="preserve"> </w:t>
      </w:r>
      <w:proofErr w:type="spellStart"/>
      <w:r w:rsidRPr="00F71E4C">
        <w:t>Gwaay.yaay</w:t>
      </w:r>
      <w:proofErr w:type="spellEnd"/>
      <w:r w:rsidRPr="00F71E4C">
        <w:t xml:space="preserve"> </w:t>
      </w:r>
      <w:proofErr w:type="spellStart"/>
      <w:r w:rsidRPr="00F71E4C">
        <w:t>iinaGwaay</w:t>
      </w:r>
      <w:proofErr w:type="spellEnd"/>
      <w:r w:rsidRPr="00F71E4C">
        <w:t xml:space="preserve"> (Moresby Island) at 52°26.039’N and 131°25.343’W, thence northerly following the eastern shoreline of </w:t>
      </w:r>
      <w:proofErr w:type="spellStart"/>
      <w:r w:rsidRPr="00F71E4C">
        <w:t>T’aaxwii</w:t>
      </w:r>
      <w:proofErr w:type="spellEnd"/>
      <w:r w:rsidRPr="00F71E4C">
        <w:t xml:space="preserve"> </w:t>
      </w:r>
      <w:proofErr w:type="spellStart"/>
      <w:r w:rsidRPr="00F71E4C">
        <w:t>XaaydaGa</w:t>
      </w:r>
      <w:proofErr w:type="spellEnd"/>
      <w:r w:rsidRPr="00F71E4C">
        <w:t xml:space="preserve"> </w:t>
      </w:r>
      <w:proofErr w:type="spellStart"/>
      <w:r w:rsidRPr="00F71E4C">
        <w:t>Gwaay.yaay</w:t>
      </w:r>
      <w:proofErr w:type="spellEnd"/>
      <w:r w:rsidRPr="00F71E4C">
        <w:t xml:space="preserve"> </w:t>
      </w:r>
      <w:proofErr w:type="spellStart"/>
      <w:r w:rsidRPr="00F71E4C">
        <w:t>iinaGwaay</w:t>
      </w:r>
      <w:proofErr w:type="spellEnd"/>
      <w:r w:rsidRPr="00F71E4C">
        <w:t xml:space="preserve"> (Moresby Island) to 52°28.460’N and 131°27.972’W, and thence northerly to the beginning point. [</w:t>
      </w:r>
      <w:proofErr w:type="spellStart"/>
      <w:r w:rsidRPr="00F71E4C">
        <w:t>Kuuniisii</w:t>
      </w:r>
      <w:proofErr w:type="spellEnd"/>
      <w:r w:rsidRPr="00F71E4C">
        <w:t xml:space="preserve"> </w:t>
      </w:r>
      <w:proofErr w:type="spellStart"/>
      <w:r w:rsidRPr="00F71E4C">
        <w:t>Xaw</w:t>
      </w:r>
      <w:proofErr w:type="spellEnd"/>
      <w:r w:rsidRPr="00F71E4C">
        <w:t xml:space="preserve"> </w:t>
      </w:r>
      <w:proofErr w:type="spellStart"/>
      <w:r w:rsidRPr="00F71E4C">
        <w:t>GawGa</w:t>
      </w:r>
      <w:proofErr w:type="spellEnd"/>
      <w:r w:rsidRPr="00F71E4C">
        <w:t xml:space="preserve"> </w:t>
      </w:r>
      <w:proofErr w:type="spellStart"/>
      <w:r w:rsidRPr="00F71E4C">
        <w:t>sda</w:t>
      </w:r>
      <w:proofErr w:type="spellEnd"/>
      <w:r w:rsidRPr="00F71E4C">
        <w:t xml:space="preserve"> </w:t>
      </w:r>
      <w:proofErr w:type="spellStart"/>
      <w:r w:rsidRPr="00F71E4C">
        <w:t>Gaaduu</w:t>
      </w:r>
      <w:proofErr w:type="spellEnd"/>
      <w:r w:rsidRPr="00F71E4C">
        <w:t xml:space="preserve"> </w:t>
      </w:r>
      <w:proofErr w:type="spellStart"/>
      <w:r w:rsidRPr="00F71E4C">
        <w:t>Gwaay</w:t>
      </w:r>
      <w:proofErr w:type="spellEnd"/>
      <w:r w:rsidRPr="00F71E4C">
        <w:t xml:space="preserve"> (Matheson Inlet to Huxley Island)]</w:t>
      </w:r>
    </w:p>
    <w:p w14:paraId="6B5084DD" w14:textId="77777777" w:rsidR="00294C8C" w:rsidRPr="00F71E4C" w:rsidRDefault="00294C8C" w:rsidP="00294C8C">
      <w:pPr>
        <w:pStyle w:val="Heading4"/>
      </w:pPr>
      <w:r w:rsidRPr="00F71E4C">
        <w:t xml:space="preserve">Juan Perez Sound to Lyell Island: Those waters of Subareas 2-11 and 102-2 inside a line commencing on the eastern shoreline of </w:t>
      </w:r>
      <w:proofErr w:type="spellStart"/>
      <w:r w:rsidRPr="00F71E4C">
        <w:t>Tllga</w:t>
      </w:r>
      <w:proofErr w:type="spellEnd"/>
      <w:r w:rsidRPr="00F71E4C">
        <w:t xml:space="preserve"> Kun </w:t>
      </w:r>
      <w:proofErr w:type="spellStart"/>
      <w:r w:rsidRPr="00F71E4C">
        <w:t>Gwaay.yaay</w:t>
      </w:r>
      <w:proofErr w:type="spellEnd"/>
      <w:r w:rsidRPr="00F71E4C">
        <w:t xml:space="preserve"> (Lyell Island) at 52°42.074’N and 131°26.535’W southeasterly to a point in water at 52°41.070’N and 131°14.485’W, thence southeasterly to a point in water at 52°38.677’N and 131°12.957’W, thence southwesterly to 52°35.106’N and 131°22.254’W, thence following the northern shoreline of </w:t>
      </w:r>
      <w:proofErr w:type="spellStart"/>
      <w:r w:rsidRPr="00F71E4C">
        <w:t>Xiina</w:t>
      </w:r>
      <w:proofErr w:type="spellEnd"/>
      <w:r w:rsidRPr="00F71E4C">
        <w:t xml:space="preserve"> </w:t>
      </w:r>
      <w:proofErr w:type="spellStart"/>
      <w:r w:rsidRPr="00F71E4C">
        <w:t>Gwaay.yaay</w:t>
      </w:r>
      <w:proofErr w:type="spellEnd"/>
      <w:r w:rsidRPr="00F71E4C">
        <w:t xml:space="preserve"> (Ramsay Island) to 52°34.964’N and 131°22.963’W, thence southwesterly following the shoreline to 52°34.116’N and 131°25.603’W, thence southwesterly following the shoreline to 52°33.844’N and 131°26.324’W, thence southwesterly to a point on </w:t>
      </w:r>
      <w:proofErr w:type="spellStart"/>
      <w:r w:rsidRPr="00F71E4C">
        <w:t>Gandaawuu.ngaay</w:t>
      </w:r>
      <w:proofErr w:type="spellEnd"/>
      <w:r w:rsidRPr="00F71E4C">
        <w:t xml:space="preserve"> </w:t>
      </w:r>
      <w:proofErr w:type="spellStart"/>
      <w:r w:rsidRPr="00F71E4C">
        <w:t>Gwaay.yaay</w:t>
      </w:r>
      <w:proofErr w:type="spellEnd"/>
      <w:r w:rsidRPr="00F71E4C">
        <w:t xml:space="preserve"> (Marco Island) at 52°31.498’N and 131°30.354’W, thence northwesterly to a point on </w:t>
      </w:r>
      <w:proofErr w:type="spellStart"/>
      <w:r w:rsidRPr="00F71E4C">
        <w:t>Gandaawuu.ngaay</w:t>
      </w:r>
      <w:proofErr w:type="spellEnd"/>
      <w:r w:rsidRPr="00F71E4C">
        <w:t xml:space="preserve"> </w:t>
      </w:r>
      <w:proofErr w:type="spellStart"/>
      <w:r w:rsidRPr="00F71E4C">
        <w:t>Gwaayts’idaay</w:t>
      </w:r>
      <w:proofErr w:type="spellEnd"/>
      <w:r w:rsidRPr="00F71E4C">
        <w:t xml:space="preserve"> (Hoskins Islets) at 52°32.405’N and 131°32.946’W, thence following the northern shoreline of </w:t>
      </w:r>
      <w:proofErr w:type="spellStart"/>
      <w:r w:rsidRPr="00F71E4C">
        <w:t>Gandaawuu.ngaay</w:t>
      </w:r>
      <w:proofErr w:type="spellEnd"/>
      <w:r w:rsidRPr="00F71E4C">
        <w:t xml:space="preserve"> </w:t>
      </w:r>
      <w:proofErr w:type="spellStart"/>
      <w:r w:rsidRPr="00F71E4C">
        <w:t>Gwaayts’idaay</w:t>
      </w:r>
      <w:proofErr w:type="spellEnd"/>
      <w:r w:rsidRPr="00F71E4C">
        <w:t xml:space="preserve"> (Hoskins Islets) to 52°32.435’N and 131°33.055’W, thence southwesterly to a point on the eastern shoreline of </w:t>
      </w:r>
      <w:proofErr w:type="spellStart"/>
      <w:r w:rsidRPr="00F71E4C">
        <w:t>T’aaxwii</w:t>
      </w:r>
      <w:proofErr w:type="spellEnd"/>
      <w:r w:rsidRPr="00F71E4C">
        <w:t xml:space="preserve"> </w:t>
      </w:r>
      <w:proofErr w:type="spellStart"/>
      <w:r w:rsidRPr="00F71E4C">
        <w:t>XaaydaGa</w:t>
      </w:r>
      <w:proofErr w:type="spellEnd"/>
      <w:r w:rsidRPr="00F71E4C">
        <w:t xml:space="preserve"> </w:t>
      </w:r>
      <w:proofErr w:type="spellStart"/>
      <w:r w:rsidRPr="00F71E4C">
        <w:t>Gwaay.yaay</w:t>
      </w:r>
      <w:proofErr w:type="spellEnd"/>
      <w:r w:rsidRPr="00F71E4C">
        <w:t xml:space="preserve"> </w:t>
      </w:r>
      <w:proofErr w:type="spellStart"/>
      <w:r w:rsidRPr="00F71E4C">
        <w:t>iinaGwaay</w:t>
      </w:r>
      <w:proofErr w:type="spellEnd"/>
      <w:r w:rsidRPr="00F71E4C">
        <w:t xml:space="preserve"> (Moresby Island) at 52°32.211’N and 131°34.475’W, thence easterly following the eastern shoreline to 52°32.956’N and 131°37.729’W, thence northeasterly to a point on the shoreline of </w:t>
      </w:r>
      <w:proofErr w:type="spellStart"/>
      <w:r w:rsidRPr="00F71E4C">
        <w:t>Kingts’ii</w:t>
      </w:r>
      <w:proofErr w:type="spellEnd"/>
      <w:r w:rsidRPr="00F71E4C">
        <w:t xml:space="preserve"> </w:t>
      </w:r>
      <w:proofErr w:type="spellStart"/>
      <w:r w:rsidRPr="00F71E4C">
        <w:t>Gwaay.yaay</w:t>
      </w:r>
      <w:proofErr w:type="spellEnd"/>
      <w:r w:rsidRPr="00F71E4C">
        <w:t xml:space="preserve"> (Bischof Islands) at 52°34.143’N and 131°33.379’W, thence easterly following the southeastern shoreline of </w:t>
      </w:r>
      <w:proofErr w:type="spellStart"/>
      <w:r w:rsidRPr="00F71E4C">
        <w:t>Kingts’ii</w:t>
      </w:r>
      <w:proofErr w:type="spellEnd"/>
      <w:r w:rsidRPr="00F71E4C">
        <w:t xml:space="preserve"> </w:t>
      </w:r>
      <w:proofErr w:type="spellStart"/>
      <w:r w:rsidRPr="00F71E4C">
        <w:t>Gwaay.yaay</w:t>
      </w:r>
      <w:proofErr w:type="spellEnd"/>
      <w:r w:rsidRPr="00F71E4C">
        <w:t xml:space="preserve"> (Bischof Islands) to 52°34.340’N and 131°33.098’W, thence northeasterly to a point on an islet at 52°34.530’N and 131°32.890’W, thence northeasterly to a point on the southern shoreline of </w:t>
      </w:r>
      <w:proofErr w:type="spellStart"/>
      <w:r w:rsidRPr="00F71E4C">
        <w:t>Tllga</w:t>
      </w:r>
      <w:proofErr w:type="spellEnd"/>
      <w:r w:rsidRPr="00F71E4C">
        <w:t xml:space="preserve"> Kun </w:t>
      </w:r>
      <w:proofErr w:type="spellStart"/>
      <w:r w:rsidRPr="00F71E4C">
        <w:t>Gwaay.yaay</w:t>
      </w:r>
      <w:proofErr w:type="spellEnd"/>
      <w:r w:rsidRPr="00F71E4C">
        <w:t xml:space="preserve"> (Lyell Island) at 52°35.767’N and 131°32.891’W, and thence easterly and northerly following the shoreline of </w:t>
      </w:r>
      <w:proofErr w:type="spellStart"/>
      <w:r w:rsidRPr="00F71E4C">
        <w:t>Tllga</w:t>
      </w:r>
      <w:proofErr w:type="spellEnd"/>
      <w:r w:rsidRPr="00F71E4C">
        <w:t xml:space="preserve"> Kun </w:t>
      </w:r>
      <w:proofErr w:type="spellStart"/>
      <w:r w:rsidRPr="00F71E4C">
        <w:t>Gwaay.yaay</w:t>
      </w:r>
      <w:proofErr w:type="spellEnd"/>
      <w:r w:rsidRPr="00F71E4C">
        <w:t xml:space="preserve"> (Lyell Island) to the beginning point. [</w:t>
      </w:r>
      <w:proofErr w:type="spellStart"/>
      <w:r w:rsidRPr="00F71E4C">
        <w:t>Gandaawuu.ngaay</w:t>
      </w:r>
      <w:proofErr w:type="spellEnd"/>
      <w:r w:rsidRPr="00F71E4C">
        <w:t xml:space="preserve"> </w:t>
      </w:r>
      <w:proofErr w:type="spellStart"/>
      <w:r w:rsidRPr="00F71E4C">
        <w:t>Xyangs</w:t>
      </w:r>
      <w:proofErr w:type="spellEnd"/>
      <w:r w:rsidRPr="00F71E4C">
        <w:t xml:space="preserve"> </w:t>
      </w:r>
      <w:proofErr w:type="spellStart"/>
      <w:r w:rsidRPr="00F71E4C">
        <w:t>sda</w:t>
      </w:r>
      <w:proofErr w:type="spellEnd"/>
      <w:r w:rsidRPr="00F71E4C">
        <w:t xml:space="preserve"> </w:t>
      </w:r>
      <w:proofErr w:type="spellStart"/>
      <w:r w:rsidRPr="00F71E4C">
        <w:t>Tllga</w:t>
      </w:r>
      <w:proofErr w:type="spellEnd"/>
      <w:r w:rsidRPr="00F71E4C">
        <w:t xml:space="preserve"> Kun </w:t>
      </w:r>
      <w:proofErr w:type="spellStart"/>
      <w:r w:rsidRPr="00F71E4C">
        <w:t>Gwaay.yaay</w:t>
      </w:r>
      <w:proofErr w:type="spellEnd"/>
      <w:r w:rsidRPr="00F71E4C">
        <w:t xml:space="preserve"> (Juan Perez Sound to Lyell Island)]</w:t>
      </w:r>
    </w:p>
    <w:p w14:paraId="0B05F3B2" w14:textId="77777777" w:rsidR="00294C8C" w:rsidRPr="00F71E4C" w:rsidRDefault="00294C8C" w:rsidP="00294C8C">
      <w:pPr>
        <w:pStyle w:val="Heading4"/>
      </w:pPr>
      <w:r w:rsidRPr="00F71E4C">
        <w:t xml:space="preserve">Darwin Sound: Those waters of Subarea 2-10 inside a line commencing at a point on land on Shuttle Island at 52°40.053’N and 131°42.328’W northeasterly to a point on the western shoreline of </w:t>
      </w:r>
      <w:proofErr w:type="spellStart"/>
      <w:r w:rsidRPr="00F71E4C">
        <w:t>Tllga</w:t>
      </w:r>
      <w:proofErr w:type="spellEnd"/>
      <w:r w:rsidRPr="00F71E4C">
        <w:t xml:space="preserve"> Kun </w:t>
      </w:r>
      <w:proofErr w:type="spellStart"/>
      <w:r w:rsidRPr="00F71E4C">
        <w:t>Gwaay.yaay</w:t>
      </w:r>
      <w:proofErr w:type="spellEnd"/>
      <w:r w:rsidRPr="00F71E4C">
        <w:t xml:space="preserve"> (Lyell Island) at 52°40.466’N and 131°41.105’W, thence </w:t>
      </w:r>
      <w:r w:rsidRPr="00F71E4C">
        <w:lastRenderedPageBreak/>
        <w:t xml:space="preserve">southerly following the western shoreline of </w:t>
      </w:r>
      <w:proofErr w:type="spellStart"/>
      <w:r w:rsidRPr="00F71E4C">
        <w:t>Tllga</w:t>
      </w:r>
      <w:proofErr w:type="spellEnd"/>
      <w:r w:rsidRPr="00F71E4C">
        <w:t xml:space="preserve"> Kun </w:t>
      </w:r>
      <w:proofErr w:type="spellStart"/>
      <w:r w:rsidRPr="00F71E4C">
        <w:t>Gwaay.yaay</w:t>
      </w:r>
      <w:proofErr w:type="spellEnd"/>
      <w:r w:rsidRPr="00F71E4C">
        <w:t xml:space="preserve"> (Lyell Island) to 52°37.301’N and 131°38.800’W, thence northwesterly to a point on land of </w:t>
      </w:r>
      <w:proofErr w:type="spellStart"/>
      <w:r w:rsidRPr="00F71E4C">
        <w:t>Gwaay</w:t>
      </w:r>
      <w:proofErr w:type="spellEnd"/>
      <w:r w:rsidRPr="00F71E4C">
        <w:t xml:space="preserve"> </w:t>
      </w:r>
      <w:proofErr w:type="spellStart"/>
      <w:r w:rsidRPr="00F71E4C">
        <w:t>DaaGaaw</w:t>
      </w:r>
      <w:proofErr w:type="spellEnd"/>
      <w:r w:rsidRPr="00F71E4C">
        <w:t xml:space="preserve"> (Shuttle Island) at 52°38.522’N and 131°41.409’W, and thence following the eastern shoreline of Shuttle Island to the beginning point. [</w:t>
      </w:r>
      <w:proofErr w:type="spellStart"/>
      <w:r w:rsidRPr="00F71E4C">
        <w:t>Didxwahxyangs</w:t>
      </w:r>
      <w:proofErr w:type="spellEnd"/>
      <w:r w:rsidRPr="00F71E4C">
        <w:t xml:space="preserve"> (Darwin Sound)]</w:t>
      </w:r>
    </w:p>
    <w:p w14:paraId="7E62AC3B" w14:textId="77777777" w:rsidR="00294C8C" w:rsidRPr="00F71E4C" w:rsidRDefault="00294C8C" w:rsidP="00294C8C">
      <w:pPr>
        <w:pStyle w:val="Heading4"/>
      </w:pPr>
      <w:proofErr w:type="spellStart"/>
      <w:r w:rsidRPr="00F71E4C">
        <w:t>Klue</w:t>
      </w:r>
      <w:proofErr w:type="spellEnd"/>
      <w:r w:rsidRPr="00F71E4C">
        <w:t xml:space="preserve"> Passage to Lost Islands: Those waters of Subareas of 2-7 and 2-8 inside a line commencing on a point of the eastern shoreline of </w:t>
      </w:r>
      <w:proofErr w:type="spellStart"/>
      <w:r w:rsidRPr="00F71E4C">
        <w:t>T’aaxwii</w:t>
      </w:r>
      <w:proofErr w:type="spellEnd"/>
      <w:r w:rsidRPr="00F71E4C">
        <w:t xml:space="preserve"> </w:t>
      </w:r>
      <w:proofErr w:type="spellStart"/>
      <w:r w:rsidRPr="00F71E4C">
        <w:t>XaaydaGa</w:t>
      </w:r>
      <w:proofErr w:type="spellEnd"/>
      <w:r w:rsidRPr="00F71E4C">
        <w:t xml:space="preserve"> </w:t>
      </w:r>
      <w:proofErr w:type="spellStart"/>
      <w:r w:rsidRPr="00F71E4C">
        <w:t>Gwaay.yaay</w:t>
      </w:r>
      <w:proofErr w:type="spellEnd"/>
      <w:r w:rsidRPr="00F71E4C">
        <w:t xml:space="preserve"> </w:t>
      </w:r>
      <w:proofErr w:type="spellStart"/>
      <w:r w:rsidRPr="00F71E4C">
        <w:t>iinaGwaay</w:t>
      </w:r>
      <w:proofErr w:type="spellEnd"/>
      <w:r w:rsidRPr="00F71E4C">
        <w:t xml:space="preserve"> (Moresby Island) at 52°48.606’N and 131°39.403’W northeasterly to a point in water at 52°49.405’N and 131° 29.042’W, thence southeasterly to a point in water at 52°48.148’N and 131°28.849’W, thence southwesterly to a point in water at 52°44.898’N and 131°34.035’W, thence northwesterly to 52°45.113’N and 131°34.125’W, thence following the northern shoreline of </w:t>
      </w:r>
      <w:proofErr w:type="spellStart"/>
      <w:r w:rsidRPr="00F71E4C">
        <w:t>K’ang.Guu</w:t>
      </w:r>
      <w:proofErr w:type="spellEnd"/>
      <w:r w:rsidRPr="00F71E4C">
        <w:t xml:space="preserve"> </w:t>
      </w:r>
      <w:proofErr w:type="spellStart"/>
      <w:r w:rsidRPr="00F71E4C">
        <w:t>Gwaay.yaay</w:t>
      </w:r>
      <w:proofErr w:type="spellEnd"/>
      <w:r w:rsidRPr="00F71E4C">
        <w:t xml:space="preserve"> (</w:t>
      </w:r>
      <w:proofErr w:type="spellStart"/>
      <w:r w:rsidRPr="00F71E4C">
        <w:t>Kunga</w:t>
      </w:r>
      <w:proofErr w:type="spellEnd"/>
      <w:r w:rsidRPr="00F71E4C">
        <w:t xml:space="preserve"> Island) to 52°45.220’N and 131°35.574’W, thence southwesterly to a point on </w:t>
      </w:r>
      <w:proofErr w:type="spellStart"/>
      <w:r w:rsidRPr="00F71E4C">
        <w:t>T’aanuu</w:t>
      </w:r>
      <w:proofErr w:type="spellEnd"/>
      <w:r w:rsidRPr="00F71E4C">
        <w:t xml:space="preserve"> </w:t>
      </w:r>
      <w:proofErr w:type="spellStart"/>
      <w:r w:rsidRPr="00F71E4C">
        <w:t>Gwaay</w:t>
      </w:r>
      <w:proofErr w:type="spellEnd"/>
      <w:r w:rsidRPr="00F71E4C">
        <w:t xml:space="preserve"> (</w:t>
      </w:r>
      <w:proofErr w:type="spellStart"/>
      <w:r w:rsidRPr="00F71E4C">
        <w:t>Tanu</w:t>
      </w:r>
      <w:proofErr w:type="spellEnd"/>
      <w:r w:rsidRPr="00F71E4C">
        <w:t xml:space="preserve"> Island) at 52°45.002’N and 131°36.770’W, thence northerly following the eastern shoreline of </w:t>
      </w:r>
      <w:proofErr w:type="spellStart"/>
      <w:r w:rsidRPr="00F71E4C">
        <w:t>T’aanuu</w:t>
      </w:r>
      <w:proofErr w:type="spellEnd"/>
      <w:r w:rsidRPr="00F71E4C">
        <w:t xml:space="preserve"> </w:t>
      </w:r>
      <w:proofErr w:type="spellStart"/>
      <w:r w:rsidRPr="00F71E4C">
        <w:t>Gwaay</w:t>
      </w:r>
      <w:proofErr w:type="spellEnd"/>
      <w:r w:rsidRPr="00F71E4C">
        <w:t xml:space="preserve"> (</w:t>
      </w:r>
      <w:proofErr w:type="spellStart"/>
      <w:r w:rsidRPr="00F71E4C">
        <w:t>Tanu</w:t>
      </w:r>
      <w:proofErr w:type="spellEnd"/>
      <w:r w:rsidRPr="00F71E4C">
        <w:t xml:space="preserve"> Island) to 52°46.725’N and 131°38.878’W, thence northwesterly across to a point on </w:t>
      </w:r>
      <w:proofErr w:type="spellStart"/>
      <w:r w:rsidRPr="00F71E4C">
        <w:t>T’aaxwii</w:t>
      </w:r>
      <w:proofErr w:type="spellEnd"/>
      <w:r w:rsidRPr="00F71E4C">
        <w:t xml:space="preserve"> </w:t>
      </w:r>
      <w:proofErr w:type="spellStart"/>
      <w:r w:rsidRPr="00F71E4C">
        <w:t>XaaydaGa</w:t>
      </w:r>
      <w:proofErr w:type="spellEnd"/>
      <w:r w:rsidRPr="00F71E4C">
        <w:t xml:space="preserve"> </w:t>
      </w:r>
      <w:proofErr w:type="spellStart"/>
      <w:r w:rsidRPr="00F71E4C">
        <w:t>Gwaay.yaay</w:t>
      </w:r>
      <w:proofErr w:type="spellEnd"/>
      <w:r w:rsidRPr="00F71E4C">
        <w:t xml:space="preserve"> </w:t>
      </w:r>
      <w:proofErr w:type="spellStart"/>
      <w:r w:rsidRPr="00F71E4C">
        <w:t>iinaGwaay</w:t>
      </w:r>
      <w:proofErr w:type="spellEnd"/>
      <w:r w:rsidRPr="00F71E4C">
        <w:t xml:space="preserve"> (Moresby Island) at 52°47.837’N and 131°39.371’W, and thence northerly following the eastern shoreline to the beginning point. [</w:t>
      </w:r>
      <w:proofErr w:type="spellStart"/>
      <w:r w:rsidRPr="00F71E4C">
        <w:t>T’aanuu</w:t>
      </w:r>
      <w:proofErr w:type="spellEnd"/>
      <w:r w:rsidRPr="00F71E4C">
        <w:t xml:space="preserve"> </w:t>
      </w:r>
      <w:proofErr w:type="spellStart"/>
      <w:r w:rsidRPr="00F71E4C">
        <w:t>K’aadxwah</w:t>
      </w:r>
      <w:proofErr w:type="spellEnd"/>
      <w:r w:rsidRPr="00F71E4C">
        <w:t xml:space="preserve"> </w:t>
      </w:r>
      <w:proofErr w:type="spellStart"/>
      <w:r w:rsidRPr="00F71E4C">
        <w:t>Xyangs</w:t>
      </w:r>
      <w:proofErr w:type="spellEnd"/>
      <w:r w:rsidRPr="00F71E4C">
        <w:t xml:space="preserve"> </w:t>
      </w:r>
      <w:proofErr w:type="spellStart"/>
      <w:r w:rsidRPr="00F71E4C">
        <w:t>sda</w:t>
      </w:r>
      <w:proofErr w:type="spellEnd"/>
      <w:r w:rsidRPr="00F71E4C">
        <w:t xml:space="preserve"> </w:t>
      </w:r>
      <w:proofErr w:type="spellStart"/>
      <w:r w:rsidRPr="00F71E4C">
        <w:t>Gwaay</w:t>
      </w:r>
      <w:proofErr w:type="spellEnd"/>
      <w:r w:rsidRPr="00F71E4C">
        <w:t xml:space="preserve"> </w:t>
      </w:r>
      <w:proofErr w:type="spellStart"/>
      <w:r w:rsidRPr="00F71E4C">
        <w:t>Xaa’ans</w:t>
      </w:r>
      <w:proofErr w:type="spellEnd"/>
      <w:r w:rsidRPr="00F71E4C">
        <w:t xml:space="preserve"> (</w:t>
      </w:r>
      <w:proofErr w:type="spellStart"/>
      <w:r w:rsidRPr="00F71E4C">
        <w:t>Klue</w:t>
      </w:r>
      <w:proofErr w:type="spellEnd"/>
      <w:r w:rsidRPr="00F71E4C">
        <w:t xml:space="preserve"> Passage to Lost Islands)]</w:t>
      </w:r>
      <w:bookmarkEnd w:id="137"/>
    </w:p>
    <w:p w14:paraId="2A7658F5" w14:textId="77777777" w:rsidR="00BA3109" w:rsidRPr="00F71E4C" w:rsidRDefault="00BA3109" w:rsidP="00BA3109">
      <w:pPr>
        <w:pStyle w:val="Heading3"/>
      </w:pPr>
      <w:bookmarkStart w:id="138" w:name="_Toc429207342"/>
      <w:r w:rsidRPr="00F71E4C">
        <w:t>Area 3</w:t>
      </w:r>
    </w:p>
    <w:p w14:paraId="193F7CDB" w14:textId="77777777" w:rsidR="00351E19" w:rsidRPr="00F71E4C" w:rsidRDefault="00351E19" w:rsidP="00351E19">
      <w:pPr>
        <w:pStyle w:val="Heading4"/>
      </w:pPr>
      <w:proofErr w:type="spellStart"/>
      <w:r w:rsidRPr="00F71E4C">
        <w:t>Nasoga</w:t>
      </w:r>
      <w:proofErr w:type="spellEnd"/>
      <w:r w:rsidRPr="00F71E4C">
        <w:t xml:space="preserve"> Gulf</w:t>
      </w:r>
      <w:r w:rsidR="004F5F43" w:rsidRPr="00F71E4C">
        <w:t xml:space="preserve"> CNTR</w:t>
      </w:r>
      <w:r w:rsidRPr="00F71E4C">
        <w:t xml:space="preserve">: Subarea 3-9. (Established 2010: </w:t>
      </w:r>
      <w:r w:rsidR="00541010" w:rsidRPr="00F71E4C">
        <w:t>Commercial No-Take Reserve</w:t>
      </w:r>
      <w:r w:rsidRPr="00F71E4C">
        <w:t>)</w:t>
      </w:r>
    </w:p>
    <w:p w14:paraId="33A5ACD5" w14:textId="77777777" w:rsidR="00351E19" w:rsidRPr="00F71E4C" w:rsidRDefault="00351E19" w:rsidP="00351E19">
      <w:pPr>
        <w:pStyle w:val="Heading4"/>
      </w:pPr>
      <w:r w:rsidRPr="00F71E4C">
        <w:t xml:space="preserve">Winter Inlet: That portion of Subarea 3-11 </w:t>
      </w:r>
      <w:r w:rsidR="00DC2899" w:rsidRPr="00F71E4C">
        <w:t>S</w:t>
      </w:r>
      <w:r w:rsidRPr="00F71E4C">
        <w:t>outh of a line starting at the entrance to Winter Inle</w:t>
      </w:r>
      <w:r w:rsidR="00F06518" w:rsidRPr="00F71E4C">
        <w:t>t at 54°</w:t>
      </w:r>
      <w:r w:rsidR="001B3096" w:rsidRPr="00F71E4C">
        <w:t xml:space="preserve"> </w:t>
      </w:r>
      <w:r w:rsidR="00F06518" w:rsidRPr="00F71E4C">
        <w:t xml:space="preserve">50.328’ N and </w:t>
      </w:r>
      <w:r w:rsidRPr="00F71E4C">
        <w:t>130°</w:t>
      </w:r>
      <w:r w:rsidR="001B3096" w:rsidRPr="00F71E4C">
        <w:t xml:space="preserve"> </w:t>
      </w:r>
      <w:r w:rsidRPr="00F71E4C">
        <w:t>27.857’</w:t>
      </w:r>
      <w:r w:rsidR="00F06518" w:rsidRPr="00F71E4C">
        <w:t xml:space="preserve"> </w:t>
      </w:r>
      <w:r w:rsidRPr="00F71E4C">
        <w:t>W across to a point at 54°</w:t>
      </w:r>
      <w:r w:rsidR="001B3096" w:rsidRPr="00F71E4C">
        <w:t xml:space="preserve"> </w:t>
      </w:r>
      <w:r w:rsidRPr="00F71E4C">
        <w:t>50.455’</w:t>
      </w:r>
      <w:r w:rsidR="00F06518" w:rsidRPr="00F71E4C">
        <w:t xml:space="preserve"> N and </w:t>
      </w:r>
      <w:r w:rsidRPr="00F71E4C">
        <w:t>130°</w:t>
      </w:r>
      <w:r w:rsidR="001B3096" w:rsidRPr="00F71E4C">
        <w:t xml:space="preserve"> </w:t>
      </w:r>
      <w:r w:rsidRPr="00F71E4C">
        <w:t>27.461’</w:t>
      </w:r>
      <w:r w:rsidR="00F06518" w:rsidRPr="00F71E4C">
        <w:t xml:space="preserve"> </w:t>
      </w:r>
      <w:r w:rsidRPr="00F71E4C">
        <w:t>W.  (Established 2011: Fisheries Management Closure)</w:t>
      </w:r>
    </w:p>
    <w:p w14:paraId="75E447F5" w14:textId="77777777" w:rsidR="00006F29" w:rsidRPr="00F71E4C" w:rsidRDefault="00006F29" w:rsidP="00DA205F">
      <w:pPr>
        <w:pStyle w:val="Heading3"/>
      </w:pPr>
      <w:r w:rsidRPr="00F71E4C">
        <w:t>Area 4</w:t>
      </w:r>
    </w:p>
    <w:p w14:paraId="51A98760" w14:textId="77777777" w:rsidR="00006F29" w:rsidRPr="00F71E4C" w:rsidRDefault="00D6428E" w:rsidP="00006F29">
      <w:pPr>
        <w:pStyle w:val="Heading4"/>
      </w:pPr>
      <w:r w:rsidRPr="00F71E4C">
        <w:t>West Stephens Island</w:t>
      </w:r>
      <w:r w:rsidR="004F5F43" w:rsidRPr="00F71E4C">
        <w:t xml:space="preserve"> CNTR</w:t>
      </w:r>
      <w:r w:rsidRPr="00F71E4C">
        <w:t>: Portion of Subarea 4-2 North of a line starting at the subarea boundary at View Point on Arthur Island [54°</w:t>
      </w:r>
      <w:r w:rsidR="001B3096" w:rsidRPr="00F71E4C">
        <w:t xml:space="preserve"> </w:t>
      </w:r>
      <w:r w:rsidRPr="00F71E4C">
        <w:t>03.249’</w:t>
      </w:r>
      <w:r w:rsidR="00800CD8" w:rsidRPr="00F71E4C">
        <w:t xml:space="preserve"> N and </w:t>
      </w:r>
      <w:r w:rsidRPr="00F71E4C">
        <w:t>130°</w:t>
      </w:r>
      <w:r w:rsidR="001B3096" w:rsidRPr="00F71E4C">
        <w:t xml:space="preserve"> </w:t>
      </w:r>
      <w:r w:rsidRPr="00F71E4C">
        <w:t>37.544’</w:t>
      </w:r>
      <w:r w:rsidR="00800CD8" w:rsidRPr="00F71E4C">
        <w:t xml:space="preserve"> </w:t>
      </w:r>
      <w:r w:rsidRPr="00F71E4C">
        <w:t>W] then West to a point at 54°</w:t>
      </w:r>
      <w:r w:rsidR="001B3096" w:rsidRPr="00F71E4C">
        <w:t xml:space="preserve"> </w:t>
      </w:r>
      <w:r w:rsidRPr="00F71E4C">
        <w:t>04.000’</w:t>
      </w:r>
      <w:r w:rsidR="00800CD8" w:rsidRPr="00F71E4C">
        <w:t xml:space="preserve"> N and </w:t>
      </w:r>
      <w:r w:rsidRPr="00F71E4C">
        <w:t>130°</w:t>
      </w:r>
      <w:r w:rsidR="001B3096" w:rsidRPr="00F71E4C">
        <w:t xml:space="preserve"> </w:t>
      </w:r>
      <w:r w:rsidRPr="00F71E4C">
        <w:t>42.500</w:t>
      </w:r>
      <w:r w:rsidR="00800CD8" w:rsidRPr="00F71E4C">
        <w:t xml:space="preserve">’ </w:t>
      </w:r>
      <w:r w:rsidRPr="00F71E4C">
        <w:t xml:space="preserve">W, then Southwest to the </w:t>
      </w:r>
      <w:proofErr w:type="spellStart"/>
      <w:r w:rsidRPr="00F71E4C">
        <w:t>surfline</w:t>
      </w:r>
      <w:proofErr w:type="spellEnd"/>
      <w:r w:rsidRPr="00F71E4C">
        <w:t xml:space="preserve"> at 53° 59.983’</w:t>
      </w:r>
      <w:r w:rsidR="00800CD8" w:rsidRPr="00F71E4C">
        <w:t xml:space="preserve"> N and </w:t>
      </w:r>
      <w:r w:rsidRPr="00F71E4C">
        <w:t>130°</w:t>
      </w:r>
      <w:r w:rsidR="001B3096" w:rsidRPr="00F71E4C">
        <w:t xml:space="preserve"> </w:t>
      </w:r>
      <w:r w:rsidRPr="00F71E4C">
        <w:t>52.025’</w:t>
      </w:r>
      <w:r w:rsidR="00800CD8" w:rsidRPr="00F71E4C">
        <w:t xml:space="preserve"> </w:t>
      </w:r>
      <w:r w:rsidRPr="00F71E4C">
        <w:t>W, excluding a portion in Stephens Passage East of a line from 54° 07.388’</w:t>
      </w:r>
      <w:r w:rsidR="00800CD8" w:rsidRPr="00F71E4C">
        <w:t xml:space="preserve"> N and </w:t>
      </w:r>
      <w:r w:rsidRPr="00F71E4C">
        <w:t>130°</w:t>
      </w:r>
      <w:r w:rsidR="001B3096" w:rsidRPr="00F71E4C">
        <w:t xml:space="preserve"> </w:t>
      </w:r>
      <w:r w:rsidRPr="00F71E4C">
        <w:t>38.755’</w:t>
      </w:r>
      <w:r w:rsidR="00800CD8" w:rsidRPr="00F71E4C">
        <w:t xml:space="preserve"> </w:t>
      </w:r>
      <w:r w:rsidRPr="00F71E4C">
        <w:t>W to 54°</w:t>
      </w:r>
      <w:r w:rsidR="001B3096" w:rsidRPr="00F71E4C">
        <w:t xml:space="preserve"> </w:t>
      </w:r>
      <w:r w:rsidRPr="00F71E4C">
        <w:t>07.197’</w:t>
      </w:r>
      <w:r w:rsidR="00800CD8" w:rsidRPr="00F71E4C">
        <w:t xml:space="preserve"> N and </w:t>
      </w:r>
      <w:r w:rsidRPr="00F71E4C">
        <w:t>130°</w:t>
      </w:r>
      <w:r w:rsidR="001B3096" w:rsidRPr="00F71E4C">
        <w:t xml:space="preserve"> </w:t>
      </w:r>
      <w:r w:rsidRPr="00F71E4C">
        <w:t>38.449’</w:t>
      </w:r>
      <w:r w:rsidR="00800CD8" w:rsidRPr="00F71E4C">
        <w:t xml:space="preserve"> </w:t>
      </w:r>
      <w:r w:rsidRPr="00F71E4C">
        <w:t>W</w:t>
      </w:r>
      <w:r w:rsidR="00006F29" w:rsidRPr="00F71E4C">
        <w:t>.</w:t>
      </w:r>
      <w:r w:rsidR="00845813" w:rsidRPr="00F71E4C">
        <w:t xml:space="preserve">  (</w:t>
      </w:r>
      <w:r w:rsidRPr="00F71E4C">
        <w:t>Established 2010</w:t>
      </w:r>
      <w:r w:rsidR="00680A25" w:rsidRPr="00F71E4C">
        <w:t xml:space="preserve">: </w:t>
      </w:r>
      <w:r w:rsidR="0000396D" w:rsidRPr="00F71E4C">
        <w:t>Commercial No-Take Reserve</w:t>
      </w:r>
      <w:r w:rsidR="00845813" w:rsidRPr="00F71E4C">
        <w:t>)</w:t>
      </w:r>
    </w:p>
    <w:p w14:paraId="6FBB5400" w14:textId="77777777" w:rsidR="000367B5" w:rsidRPr="00F71E4C" w:rsidRDefault="000367B5" w:rsidP="00DA205F">
      <w:pPr>
        <w:pStyle w:val="Heading3"/>
      </w:pPr>
      <w:r w:rsidRPr="00F71E4C">
        <w:t>Area 5</w:t>
      </w:r>
      <w:bookmarkEnd w:id="138"/>
    </w:p>
    <w:p w14:paraId="009273F2" w14:textId="77777777" w:rsidR="000367B5" w:rsidRPr="00F71E4C" w:rsidRDefault="000367B5" w:rsidP="00E0106C">
      <w:pPr>
        <w:pStyle w:val="Heading4"/>
      </w:pPr>
      <w:bookmarkStart w:id="139" w:name="Kitkatla"/>
      <w:proofErr w:type="spellStart"/>
      <w:r w:rsidRPr="00F71E4C">
        <w:t>Kitkatla</w:t>
      </w:r>
      <w:proofErr w:type="spellEnd"/>
      <w:r w:rsidRPr="00F71E4C">
        <w:t xml:space="preserve"> Inlet and adjacent waters: Subarea 5-3 a</w:t>
      </w:r>
      <w:r w:rsidR="00271E73" w:rsidRPr="00F71E4C">
        <w:t>nd</w:t>
      </w:r>
      <w:r w:rsidRPr="00F71E4C">
        <w:t xml:space="preserve"> Subarea 5-10</w:t>
      </w:r>
      <w:r w:rsidR="00271E73" w:rsidRPr="00F71E4C">
        <w:t>.</w:t>
      </w:r>
      <w:r w:rsidR="00CA297C" w:rsidRPr="00F71E4C">
        <w:t xml:space="preserve">  </w:t>
      </w:r>
      <w:r w:rsidR="00271E73" w:rsidRPr="00F71E4C">
        <w:t>(</w:t>
      </w:r>
      <w:r w:rsidR="00DA205F" w:rsidRPr="00F71E4C">
        <w:t>First Nations</w:t>
      </w:r>
      <w:r w:rsidRPr="00F71E4C">
        <w:t xml:space="preserve"> access for food, social and ceremonial purposes)</w:t>
      </w:r>
      <w:bookmarkEnd w:id="139"/>
    </w:p>
    <w:p w14:paraId="0D76CCC8" w14:textId="77777777" w:rsidR="007574C5" w:rsidRPr="00F71E4C" w:rsidRDefault="007574C5" w:rsidP="007574C5">
      <w:pPr>
        <w:pStyle w:val="Heading4"/>
      </w:pPr>
      <w:proofErr w:type="spellStart"/>
      <w:r w:rsidRPr="00F71E4C">
        <w:t>Kumealon</w:t>
      </w:r>
      <w:proofErr w:type="spellEnd"/>
      <w:r w:rsidRPr="00F71E4C">
        <w:t xml:space="preserve"> Inlet, Baker Inlet, </w:t>
      </w:r>
      <w:proofErr w:type="spellStart"/>
      <w:r w:rsidRPr="00F71E4C">
        <w:t>Kxngeal</w:t>
      </w:r>
      <w:proofErr w:type="spellEnd"/>
      <w:r w:rsidRPr="00F71E4C">
        <w:t xml:space="preserve"> Inlet, </w:t>
      </w:r>
      <w:smartTag w:uri="urn:schemas-microsoft-com:office:smarttags" w:element="stockticker">
        <w:r w:rsidRPr="00F71E4C">
          <w:t>and</w:t>
        </w:r>
      </w:smartTag>
      <w:r w:rsidRPr="00F71E4C">
        <w:t xml:space="preserve"> </w:t>
      </w:r>
      <w:proofErr w:type="spellStart"/>
      <w:r w:rsidRPr="00F71E4C">
        <w:t>Klewnuggit</w:t>
      </w:r>
      <w:proofErr w:type="spellEnd"/>
      <w:r w:rsidRPr="00F71E4C">
        <w:t xml:space="preserve"> Inlet</w:t>
      </w:r>
      <w:r w:rsidR="0060475B" w:rsidRPr="00F71E4C">
        <w:t xml:space="preserve"> in Subarea 5-23</w:t>
      </w:r>
      <w:r w:rsidR="00D216D9" w:rsidRPr="00F71E4C">
        <w:t xml:space="preserve"> </w:t>
      </w:r>
      <w:r w:rsidR="0060475B" w:rsidRPr="00F71E4C">
        <w:t xml:space="preserve">and Lowe Inlet in Subarea 5-24 </w:t>
      </w:r>
      <w:r w:rsidRPr="00F71E4C">
        <w:t>(</w:t>
      </w:r>
      <w:r w:rsidR="0060475B" w:rsidRPr="00F71E4C">
        <w:t xml:space="preserve">Established 1998: </w:t>
      </w:r>
      <w:r w:rsidRPr="00F71E4C">
        <w:t>Fisheries Management Closure)</w:t>
      </w:r>
      <w:r w:rsidR="0060475B" w:rsidRPr="00F71E4C">
        <w:t>.</w:t>
      </w:r>
    </w:p>
    <w:p w14:paraId="219ABB2C" w14:textId="77777777" w:rsidR="00E0106C" w:rsidRPr="00F71E4C" w:rsidRDefault="00E0106C" w:rsidP="00DA205F">
      <w:pPr>
        <w:pStyle w:val="Heading3"/>
      </w:pPr>
      <w:r w:rsidRPr="00F71E4C">
        <w:t>Area 6</w:t>
      </w:r>
    </w:p>
    <w:p w14:paraId="480B53E6" w14:textId="77777777" w:rsidR="00737AE5" w:rsidRPr="00F71E4C" w:rsidRDefault="00227B10">
      <w:pPr>
        <w:pStyle w:val="Heading4"/>
      </w:pPr>
      <w:proofErr w:type="spellStart"/>
      <w:r w:rsidRPr="00F71E4C">
        <w:lastRenderedPageBreak/>
        <w:t>Giltoyees</w:t>
      </w:r>
      <w:proofErr w:type="spellEnd"/>
      <w:r w:rsidRPr="00F71E4C">
        <w:t xml:space="preserve"> and </w:t>
      </w:r>
      <w:proofErr w:type="spellStart"/>
      <w:r w:rsidRPr="00F71E4C">
        <w:t>Miskatla</w:t>
      </w:r>
      <w:proofErr w:type="spellEnd"/>
      <w:r w:rsidRPr="00F71E4C">
        <w:t xml:space="preserve"> Inlet</w:t>
      </w:r>
      <w:r w:rsidR="009839B4" w:rsidRPr="00F71E4C">
        <w:t>s</w:t>
      </w:r>
      <w:r w:rsidR="00632616" w:rsidRPr="00F71E4C">
        <w:t>: That portion</w:t>
      </w:r>
      <w:r w:rsidR="00E95023" w:rsidRPr="00F71E4C">
        <w:t xml:space="preserve"> of Subarea 6-1 north of a line</w:t>
      </w:r>
      <w:r w:rsidR="00632616" w:rsidRPr="00F71E4C">
        <w:t xml:space="preserve"> from Point Ashton [53</w:t>
      </w:r>
      <w:r w:rsidR="009F507E" w:rsidRPr="00F71E4C">
        <w:t>°</w:t>
      </w:r>
      <w:r w:rsidR="00632616" w:rsidRPr="00F71E4C">
        <w:t xml:space="preserve"> 46.245</w:t>
      </w:r>
      <w:r w:rsidR="009F507E" w:rsidRPr="00F71E4C">
        <w:t>’</w:t>
      </w:r>
      <w:r w:rsidR="00632616" w:rsidRPr="00F71E4C">
        <w:t>N/128</w:t>
      </w:r>
      <w:r w:rsidR="009F507E" w:rsidRPr="00F71E4C">
        <w:t>°</w:t>
      </w:r>
      <w:r w:rsidR="00632616" w:rsidRPr="00F71E4C">
        <w:t xml:space="preserve"> 56.920</w:t>
      </w:r>
      <w:r w:rsidR="009F507E" w:rsidRPr="00F71E4C">
        <w:t>’</w:t>
      </w:r>
      <w:r w:rsidR="00632616" w:rsidRPr="00F71E4C">
        <w:t>W] west to a point at 53</w:t>
      </w:r>
      <w:r w:rsidR="009F507E" w:rsidRPr="00F71E4C">
        <w:t>°</w:t>
      </w:r>
      <w:r w:rsidR="00632616" w:rsidRPr="00F71E4C">
        <w:t xml:space="preserve"> 46.092</w:t>
      </w:r>
      <w:r w:rsidR="009F507E" w:rsidRPr="00F71E4C">
        <w:t>’</w:t>
      </w:r>
      <w:r w:rsidR="00632616" w:rsidRPr="00F71E4C">
        <w:t>N and 128</w:t>
      </w:r>
      <w:r w:rsidR="009F507E" w:rsidRPr="00F71E4C">
        <w:t>°</w:t>
      </w:r>
      <w:r w:rsidR="00632616" w:rsidRPr="00F71E4C">
        <w:t xml:space="preserve"> 58.589</w:t>
      </w:r>
      <w:r w:rsidR="009F507E" w:rsidRPr="00F71E4C">
        <w:t>’</w:t>
      </w:r>
      <w:r w:rsidR="00632616" w:rsidRPr="00F71E4C">
        <w:t>W</w:t>
      </w:r>
      <w:r w:rsidR="00D55564" w:rsidRPr="00F71E4C">
        <w:t>. (Established 2015: Fisheries Management Closure – created after discussion with the Haisla First Nation)</w:t>
      </w:r>
    </w:p>
    <w:p w14:paraId="759E76A1" w14:textId="77777777" w:rsidR="00227B10" w:rsidRPr="00F71E4C" w:rsidRDefault="00227B10" w:rsidP="00E0106C">
      <w:pPr>
        <w:pStyle w:val="Heading4"/>
      </w:pPr>
      <w:r w:rsidRPr="00F71E4C">
        <w:t>Sue Channel CNTR:</w:t>
      </w:r>
      <w:r w:rsidR="005A47A5" w:rsidRPr="00F71E4C">
        <w:t xml:space="preserve"> That portion of Subarea 6-1 that encompasses both Sue Channel and Loretta Channels within the following boundaries:</w:t>
      </w:r>
      <w:r w:rsidR="005E7ED9" w:rsidRPr="00F71E4C">
        <w:t xml:space="preserve"> </w:t>
      </w:r>
    </w:p>
    <w:p w14:paraId="5B39FF5D" w14:textId="77777777" w:rsidR="00227B10" w:rsidRPr="00F71E4C" w:rsidRDefault="005E7ED9" w:rsidP="001377A1">
      <w:r w:rsidRPr="00F71E4C">
        <w:t>Easterly of the Subarea boundary between Maitland Island [53</w:t>
      </w:r>
      <w:r w:rsidR="009F507E" w:rsidRPr="00F71E4C">
        <w:t>°</w:t>
      </w:r>
      <w:r w:rsidRPr="00F71E4C">
        <w:t xml:space="preserve"> 41.197</w:t>
      </w:r>
      <w:r w:rsidR="009F507E" w:rsidRPr="00F71E4C">
        <w:t>’</w:t>
      </w:r>
      <w:r w:rsidRPr="00F71E4C">
        <w:t>N/129</w:t>
      </w:r>
      <w:r w:rsidR="009F507E" w:rsidRPr="00F71E4C">
        <w:t>°</w:t>
      </w:r>
      <w:r w:rsidRPr="00F71E4C">
        <w:t xml:space="preserve"> 04.789</w:t>
      </w:r>
      <w:r w:rsidR="009F507E" w:rsidRPr="00F71E4C">
        <w:t>’</w:t>
      </w:r>
      <w:r w:rsidRPr="00F71E4C">
        <w:t>W and Hawkesbury Island [53</w:t>
      </w:r>
      <w:r w:rsidR="009F507E" w:rsidRPr="00F71E4C">
        <w:t>°</w:t>
      </w:r>
      <w:r w:rsidRPr="00F71E4C">
        <w:t xml:space="preserve"> 40.494</w:t>
      </w:r>
      <w:r w:rsidR="009F507E" w:rsidRPr="00F71E4C">
        <w:t>’</w:t>
      </w:r>
      <w:r w:rsidRPr="00F71E4C">
        <w:t>N/129</w:t>
      </w:r>
      <w:r w:rsidR="009F507E" w:rsidRPr="00F71E4C">
        <w:t>°</w:t>
      </w:r>
      <w:r w:rsidRPr="00F71E4C">
        <w:t xml:space="preserve"> 04.797</w:t>
      </w:r>
      <w:r w:rsidR="009F507E" w:rsidRPr="00F71E4C">
        <w:t>’</w:t>
      </w:r>
      <w:r w:rsidRPr="00F71E4C">
        <w:t>W] and westerly of a line that begins at 53</w:t>
      </w:r>
      <w:r w:rsidR="009F507E" w:rsidRPr="00F71E4C">
        <w:t>°</w:t>
      </w:r>
      <w:r w:rsidRPr="00F71E4C">
        <w:t xml:space="preserve"> 41.205</w:t>
      </w:r>
      <w:r w:rsidR="009F507E" w:rsidRPr="00F71E4C">
        <w:t>’</w:t>
      </w:r>
      <w:r w:rsidRPr="00F71E4C">
        <w:t>N/129</w:t>
      </w:r>
      <w:r w:rsidR="009F507E" w:rsidRPr="00F71E4C">
        <w:t>°</w:t>
      </w:r>
      <w:r w:rsidRPr="00F71E4C">
        <w:t xml:space="preserve"> 04.898</w:t>
      </w:r>
      <w:r w:rsidR="009F507E" w:rsidRPr="00F71E4C">
        <w:t>’</w:t>
      </w:r>
      <w:r w:rsidRPr="00F71E4C">
        <w:t>W (Kersey Point) then to 53</w:t>
      </w:r>
      <w:r w:rsidR="009F507E" w:rsidRPr="00F71E4C">
        <w:t>°</w:t>
      </w:r>
      <w:r w:rsidRPr="00F71E4C">
        <w:t xml:space="preserve"> 45.620</w:t>
      </w:r>
      <w:r w:rsidR="009F507E" w:rsidRPr="00F71E4C">
        <w:t>’</w:t>
      </w:r>
      <w:r w:rsidRPr="00F71E4C">
        <w:t>N/128</w:t>
      </w:r>
      <w:r w:rsidR="009F507E" w:rsidRPr="00F71E4C">
        <w:t>°</w:t>
      </w:r>
      <w:r w:rsidRPr="00F71E4C">
        <w:t xml:space="preserve"> 50.849</w:t>
      </w:r>
      <w:r w:rsidR="009F507E" w:rsidRPr="00F71E4C">
        <w:t>’</w:t>
      </w:r>
      <w:r w:rsidRPr="00F71E4C">
        <w:t>W (</w:t>
      </w:r>
      <w:proofErr w:type="spellStart"/>
      <w:r w:rsidRPr="00F71E4C">
        <w:t>Walbran</w:t>
      </w:r>
      <w:proofErr w:type="spellEnd"/>
      <w:r w:rsidRPr="00F71E4C">
        <w:t xml:space="preserve"> Point) then following the easterly shoreline of Loretta Island to 53</w:t>
      </w:r>
      <w:r w:rsidR="009F507E" w:rsidRPr="00F71E4C">
        <w:t>°</w:t>
      </w:r>
      <w:r w:rsidRPr="00F71E4C">
        <w:t xml:space="preserve"> 43.341</w:t>
      </w:r>
      <w:r w:rsidR="009F507E" w:rsidRPr="00F71E4C">
        <w:t>’</w:t>
      </w:r>
      <w:r w:rsidRPr="00F71E4C">
        <w:t>N/128</w:t>
      </w:r>
      <w:r w:rsidR="009F507E" w:rsidRPr="00F71E4C">
        <w:t>°</w:t>
      </w:r>
      <w:r w:rsidRPr="00F71E4C">
        <w:t xml:space="preserve"> 49.939</w:t>
      </w:r>
      <w:r w:rsidR="009F507E" w:rsidRPr="00F71E4C">
        <w:t>’</w:t>
      </w:r>
      <w:r w:rsidRPr="00F71E4C">
        <w:t>W then to 53</w:t>
      </w:r>
      <w:r w:rsidR="009F507E" w:rsidRPr="00F71E4C">
        <w:t>°</w:t>
      </w:r>
      <w:r w:rsidRPr="00F71E4C">
        <w:t xml:space="preserve"> 42.645</w:t>
      </w:r>
      <w:r w:rsidR="009F507E" w:rsidRPr="00F71E4C">
        <w:t>’</w:t>
      </w:r>
      <w:r w:rsidRPr="00F71E4C">
        <w:t>N/128</w:t>
      </w:r>
      <w:r w:rsidR="009F507E" w:rsidRPr="00F71E4C">
        <w:t>°</w:t>
      </w:r>
      <w:r w:rsidRPr="00F71E4C">
        <w:t xml:space="preserve"> 50.071</w:t>
      </w:r>
      <w:r w:rsidR="009F507E" w:rsidRPr="00F71E4C">
        <w:t>’</w:t>
      </w:r>
      <w:r w:rsidRPr="00F71E4C">
        <w:t>W (Gaudin Point).</w:t>
      </w:r>
      <w:r w:rsidR="009F507E" w:rsidRPr="00F71E4C">
        <w:t xml:space="preserve"> (Established 2015: Commercial No-Take Reserve – created after discussion with the Haisla First Nation)</w:t>
      </w:r>
    </w:p>
    <w:p w14:paraId="5B067CCF" w14:textId="77777777" w:rsidR="00E0106C" w:rsidRPr="00F71E4C" w:rsidRDefault="00E0106C" w:rsidP="00E0106C">
      <w:pPr>
        <w:pStyle w:val="Heading4"/>
      </w:pPr>
      <w:r w:rsidRPr="00F71E4C">
        <w:t xml:space="preserve">Hartley Bay: Those portions of Subareas 6-2, 6-6 and 6-28 in the vicinity of Hartley Bay, Promise Island and </w:t>
      </w:r>
      <w:proofErr w:type="spellStart"/>
      <w:r w:rsidRPr="00F71E4C">
        <w:t>Coghlin</w:t>
      </w:r>
      <w:proofErr w:type="spellEnd"/>
      <w:r w:rsidRPr="00F71E4C">
        <w:t xml:space="preserve"> Anchorage, inside the 20 fathom depth contour running from Halsey Point at the entrance to Hartley Bay, around Cape Farewell on Promise Island, then to </w:t>
      </w:r>
      <w:proofErr w:type="spellStart"/>
      <w:r w:rsidRPr="00F71E4C">
        <w:t>Sainty</w:t>
      </w:r>
      <w:proofErr w:type="spellEnd"/>
      <w:r w:rsidRPr="00F71E4C">
        <w:t xml:space="preserve"> Point on the mainland coast as shown on Charts No. 3711 and 3742 published by the Canadian Hydrographic Service.  (</w:t>
      </w:r>
      <w:r w:rsidR="005946B7" w:rsidRPr="00F71E4C">
        <w:t xml:space="preserve">Established 2005: </w:t>
      </w:r>
      <w:r w:rsidR="00DA205F" w:rsidRPr="00F71E4C">
        <w:t>First Nations</w:t>
      </w:r>
      <w:r w:rsidRPr="00F71E4C">
        <w:t xml:space="preserve"> access for food, social and ceremonial purposes)</w:t>
      </w:r>
    </w:p>
    <w:p w14:paraId="22EEEBDD" w14:textId="77777777" w:rsidR="005946B7" w:rsidRPr="00F71E4C" w:rsidRDefault="005946B7" w:rsidP="005946B7">
      <w:pPr>
        <w:pStyle w:val="Heading4"/>
      </w:pPr>
      <w:proofErr w:type="spellStart"/>
      <w:r w:rsidRPr="00F71E4C">
        <w:t>Kitkiata</w:t>
      </w:r>
      <w:proofErr w:type="spellEnd"/>
      <w:r w:rsidRPr="00F71E4C">
        <w:t xml:space="preserve"> Inlet: That portion of Subarea 6-2 that is </w:t>
      </w:r>
      <w:proofErr w:type="spellStart"/>
      <w:r w:rsidRPr="00F71E4C">
        <w:t>Kitkiata</w:t>
      </w:r>
      <w:proofErr w:type="spellEnd"/>
      <w:r w:rsidRPr="00F71E4C">
        <w:t xml:space="preserve"> Inlet </w:t>
      </w:r>
      <w:r w:rsidR="001417EC" w:rsidRPr="00F71E4C">
        <w:t>W</w:t>
      </w:r>
      <w:r w:rsidRPr="00F71E4C">
        <w:t>est of a line from Gertrude Point to Helen Point.  (Established 2006: First Nations access for food, social and ceremonial purposes)</w:t>
      </w:r>
    </w:p>
    <w:p w14:paraId="42DB4EE2" w14:textId="77777777" w:rsidR="005946B7" w:rsidRPr="00F71E4C" w:rsidRDefault="005946B7" w:rsidP="005946B7">
      <w:pPr>
        <w:pStyle w:val="Heading4"/>
      </w:pPr>
      <w:proofErr w:type="spellStart"/>
      <w:r w:rsidRPr="00F71E4C">
        <w:t>Kiskosh</w:t>
      </w:r>
      <w:proofErr w:type="spellEnd"/>
      <w:r w:rsidRPr="00F71E4C">
        <w:t xml:space="preserve"> Inlet: That por</w:t>
      </w:r>
      <w:r w:rsidR="00CC2ED6" w:rsidRPr="00F71E4C">
        <w:t xml:space="preserve">tion of Subarea 6-2 that is </w:t>
      </w:r>
      <w:proofErr w:type="spellStart"/>
      <w:r w:rsidR="00CC2ED6" w:rsidRPr="00F71E4C">
        <w:t>Kis</w:t>
      </w:r>
      <w:r w:rsidRPr="00F71E4C">
        <w:t>kosh</w:t>
      </w:r>
      <w:proofErr w:type="spellEnd"/>
      <w:r w:rsidRPr="00F71E4C">
        <w:t xml:space="preserve"> Inlet </w:t>
      </w:r>
      <w:r w:rsidR="001417EC" w:rsidRPr="00F71E4C">
        <w:t>W</w:t>
      </w:r>
      <w:r w:rsidRPr="00F71E4C">
        <w:t>est of a line running across the entrance of the inlet.  (Established 2006: First Nations access for food, social and ceremonial purposes)</w:t>
      </w:r>
    </w:p>
    <w:p w14:paraId="726E0685" w14:textId="77777777" w:rsidR="005946B7" w:rsidRPr="00F71E4C" w:rsidRDefault="005946B7" w:rsidP="005946B7">
      <w:pPr>
        <w:pStyle w:val="Heading4"/>
      </w:pPr>
      <w:r w:rsidRPr="00F71E4C">
        <w:t xml:space="preserve">Bishop Bay: That portion of Subarea 6-3 that is Bishop Bay </w:t>
      </w:r>
      <w:r w:rsidR="001417EC" w:rsidRPr="00F71E4C">
        <w:t>E</w:t>
      </w:r>
      <w:r w:rsidRPr="00F71E4C">
        <w:t>ast of a line from Riordan Point to Tomkinson Point.  (Established 2006: First Nations access for food, social and ceremonial purposes)</w:t>
      </w:r>
    </w:p>
    <w:p w14:paraId="01FD1508" w14:textId="77777777" w:rsidR="00A61861" w:rsidRPr="00F71E4C" w:rsidRDefault="00A61861" w:rsidP="00A61861">
      <w:pPr>
        <w:pStyle w:val="Heading4"/>
      </w:pPr>
      <w:r w:rsidRPr="00F71E4C">
        <w:t>Cornwall and Drake Inlets: Subarea 6-8.  (Established 2006: First Nations access for food, social and ceremonial purposes)</w:t>
      </w:r>
    </w:p>
    <w:p w14:paraId="651C78FE" w14:textId="77777777" w:rsidR="0000396D" w:rsidRPr="00F71E4C" w:rsidRDefault="0000396D" w:rsidP="00A61861">
      <w:pPr>
        <w:pStyle w:val="Heading4"/>
      </w:pPr>
      <w:r w:rsidRPr="00F71E4C">
        <w:t>Northwest Price Island</w:t>
      </w:r>
      <w:r w:rsidR="006F17B2" w:rsidRPr="00F71E4C">
        <w:t xml:space="preserve"> CNTR</w:t>
      </w:r>
      <w:r w:rsidRPr="00F71E4C">
        <w:t xml:space="preserve">: </w:t>
      </w:r>
      <w:r w:rsidR="00541010" w:rsidRPr="00F71E4C">
        <w:t xml:space="preserve">That portion of Subarea 6-17 along the </w:t>
      </w:r>
      <w:r w:rsidR="002A4B41" w:rsidRPr="00F71E4C">
        <w:t xml:space="preserve">western shoreline of </w:t>
      </w:r>
      <w:r w:rsidR="00541010" w:rsidRPr="00F71E4C">
        <w:t xml:space="preserve">Price Island from the Subarea boundary at </w:t>
      </w:r>
      <w:r w:rsidR="002A4B41" w:rsidRPr="00F71E4C">
        <w:t>52</w:t>
      </w:r>
      <w:r w:rsidR="00B91656" w:rsidRPr="00F71E4C">
        <w:t>°</w:t>
      </w:r>
      <w:r w:rsidR="002A4B41" w:rsidRPr="00F71E4C">
        <w:t xml:space="preserve"> 27.488’N and 128</w:t>
      </w:r>
      <w:r w:rsidR="00B91656" w:rsidRPr="00F71E4C">
        <w:t>°</w:t>
      </w:r>
      <w:r w:rsidR="002A4B41" w:rsidRPr="00F71E4C">
        <w:t xml:space="preserve"> 45.802’W</w:t>
      </w:r>
      <w:r w:rsidR="00541010" w:rsidRPr="00F71E4C">
        <w:t xml:space="preserve"> south to the Subarea boundary at </w:t>
      </w:r>
      <w:r w:rsidR="002A4B41" w:rsidRPr="00F71E4C">
        <w:t>52</w:t>
      </w:r>
      <w:r w:rsidR="00B91656" w:rsidRPr="00F71E4C">
        <w:t>°</w:t>
      </w:r>
      <w:r w:rsidR="002A4B41" w:rsidRPr="00F71E4C">
        <w:t xml:space="preserve"> 24.222’N and 128</w:t>
      </w:r>
      <w:r w:rsidR="00B91656" w:rsidRPr="00F71E4C">
        <w:t>°</w:t>
      </w:r>
      <w:r w:rsidR="002A4B41" w:rsidRPr="00F71E4C">
        <w:t xml:space="preserve"> 45.690’W</w:t>
      </w:r>
      <w:r w:rsidR="00541010" w:rsidRPr="00F71E4C">
        <w:t>.</w:t>
      </w:r>
      <w:r w:rsidR="00B91656" w:rsidRPr="00F71E4C">
        <w:t xml:space="preserve"> (Established 2014:</w:t>
      </w:r>
      <w:r w:rsidRPr="00F71E4C">
        <w:t xml:space="preserve"> Commercial No-Take Reserve)</w:t>
      </w:r>
    </w:p>
    <w:p w14:paraId="105AA51C" w14:textId="77777777" w:rsidR="00B155C1" w:rsidRPr="00F71E4C" w:rsidRDefault="00541010" w:rsidP="00A61861">
      <w:pPr>
        <w:pStyle w:val="Heading4"/>
      </w:pPr>
      <w:r w:rsidRPr="00F71E4C">
        <w:t xml:space="preserve">Mid </w:t>
      </w:r>
      <w:r w:rsidR="00B155C1" w:rsidRPr="00F71E4C">
        <w:t xml:space="preserve">Princess Royal Channel: </w:t>
      </w:r>
      <w:r w:rsidR="00AF09FF" w:rsidRPr="00F71E4C">
        <w:t xml:space="preserve">That portion of Subarea 6-20 South of a line from a point at </w:t>
      </w:r>
      <w:proofErr w:type="spellStart"/>
      <w:r w:rsidR="00AF09FF" w:rsidRPr="00F71E4C">
        <w:t>Nomel</w:t>
      </w:r>
      <w:proofErr w:type="spellEnd"/>
      <w:r w:rsidR="00AF09FF" w:rsidRPr="00F71E4C">
        <w:t xml:space="preserve"> Creek (53</w:t>
      </w:r>
      <w:r w:rsidR="00B91656" w:rsidRPr="00F71E4C">
        <w:t>°</w:t>
      </w:r>
      <w:r w:rsidR="00AF09FF" w:rsidRPr="00F71E4C">
        <w:t xml:space="preserve"> 07.106’N and 128</w:t>
      </w:r>
      <w:r w:rsidR="00B91656" w:rsidRPr="00F71E4C">
        <w:t>°</w:t>
      </w:r>
      <w:r w:rsidR="00AF09FF" w:rsidRPr="00F71E4C">
        <w:t xml:space="preserve"> 36.006’W) then East to the Subarea boundary at (</w:t>
      </w:r>
      <w:r w:rsidR="002A4B41" w:rsidRPr="00F71E4C">
        <w:t>53</w:t>
      </w:r>
      <w:r w:rsidR="00B91656" w:rsidRPr="00F71E4C">
        <w:t>°</w:t>
      </w:r>
      <w:r w:rsidR="002A4B41" w:rsidRPr="00F71E4C">
        <w:t xml:space="preserve"> 07.123’N and 128</w:t>
      </w:r>
      <w:r w:rsidR="00B91656" w:rsidRPr="00F71E4C">
        <w:t>°</w:t>
      </w:r>
      <w:r w:rsidR="002A4B41" w:rsidRPr="00F71E4C">
        <w:t xml:space="preserve"> 34.164’W</w:t>
      </w:r>
      <w:r w:rsidR="00AF09FF" w:rsidRPr="00F71E4C">
        <w:t>). North of a line from point at Big Creek (53</w:t>
      </w:r>
      <w:r w:rsidR="00B91656" w:rsidRPr="00F71E4C">
        <w:t>°</w:t>
      </w:r>
      <w:r w:rsidR="00AF09FF" w:rsidRPr="00F71E4C">
        <w:t xml:space="preserve"> 02.029’N and </w:t>
      </w:r>
      <w:r w:rsidR="00AF09FF" w:rsidRPr="00F71E4C">
        <w:lastRenderedPageBreak/>
        <w:t>128</w:t>
      </w:r>
      <w:r w:rsidR="00B91656" w:rsidRPr="00F71E4C">
        <w:t>°</w:t>
      </w:r>
      <w:r w:rsidR="00AF09FF" w:rsidRPr="00F71E4C">
        <w:t xml:space="preserve"> 31.508’W), West to a point at 53</w:t>
      </w:r>
      <w:r w:rsidR="00B91656" w:rsidRPr="00F71E4C">
        <w:t>°</w:t>
      </w:r>
      <w:r w:rsidR="00AF09FF" w:rsidRPr="00F71E4C">
        <w:t xml:space="preserve"> 01.924’N and 128</w:t>
      </w:r>
      <w:r w:rsidR="00B91656" w:rsidRPr="00F71E4C">
        <w:t>°</w:t>
      </w:r>
      <w:r w:rsidR="00AF09FF" w:rsidRPr="00F71E4C">
        <w:t xml:space="preserve"> 32.560’W.  </w:t>
      </w:r>
      <w:r w:rsidR="00B155C1" w:rsidRPr="00F71E4C">
        <w:t>(Established 2014: First Nations access for food, social and ceremonial purposes)</w:t>
      </w:r>
    </w:p>
    <w:p w14:paraId="007CDED2" w14:textId="77777777" w:rsidR="0000396D" w:rsidRPr="00F71E4C" w:rsidRDefault="0000396D" w:rsidP="00A61861">
      <w:pPr>
        <w:pStyle w:val="Heading4"/>
      </w:pPr>
      <w:r w:rsidRPr="00F71E4C">
        <w:t>Tol</w:t>
      </w:r>
      <w:r w:rsidR="00541010" w:rsidRPr="00F71E4C">
        <w:t>mie Channel</w:t>
      </w:r>
      <w:r w:rsidR="002A4B41" w:rsidRPr="00F71E4C">
        <w:t xml:space="preserve"> CNTR</w:t>
      </w:r>
      <w:r w:rsidRPr="00F71E4C">
        <w:t xml:space="preserve">: </w:t>
      </w:r>
      <w:r w:rsidR="006D7A64" w:rsidRPr="00F71E4C">
        <w:t xml:space="preserve">That portion of Subarea 6-20 south of a line starting at </w:t>
      </w:r>
      <w:r w:rsidR="00C11950" w:rsidRPr="00F71E4C">
        <w:t xml:space="preserve">the Subarea boundary at </w:t>
      </w:r>
      <w:proofErr w:type="spellStart"/>
      <w:r w:rsidR="006D7A64" w:rsidRPr="00F71E4C">
        <w:t>Netherby</w:t>
      </w:r>
      <w:proofErr w:type="spellEnd"/>
      <w:r w:rsidR="006D7A64" w:rsidRPr="00F71E4C">
        <w:t xml:space="preserve"> Point (</w:t>
      </w:r>
      <w:r w:rsidR="002A4B41" w:rsidRPr="00F71E4C">
        <w:t>52</w:t>
      </w:r>
      <w:r w:rsidR="00905A67" w:rsidRPr="00F71E4C">
        <w:t>°</w:t>
      </w:r>
      <w:r w:rsidR="002A4B41" w:rsidRPr="00F71E4C">
        <w:t xml:space="preserve"> 55.314’N and 128</w:t>
      </w:r>
      <w:r w:rsidR="00905A67" w:rsidRPr="00F71E4C">
        <w:t>°</w:t>
      </w:r>
      <w:r w:rsidR="002A4B41" w:rsidRPr="00F71E4C">
        <w:t xml:space="preserve"> 30.007’W</w:t>
      </w:r>
      <w:r w:rsidR="006D7A64" w:rsidRPr="00F71E4C">
        <w:t>)</w:t>
      </w:r>
      <w:r w:rsidR="002A4B41" w:rsidRPr="00F71E4C">
        <w:t xml:space="preserve"> w</w:t>
      </w:r>
      <w:r w:rsidR="006D7A64" w:rsidRPr="00F71E4C">
        <w:t>est to a point at 52</w:t>
      </w:r>
      <w:r w:rsidR="00905A67" w:rsidRPr="00F71E4C">
        <w:t>°</w:t>
      </w:r>
      <w:r w:rsidR="006D7A64" w:rsidRPr="00F71E4C">
        <w:t xml:space="preserve"> 55.320’N and 128</w:t>
      </w:r>
      <w:r w:rsidR="00905A67" w:rsidRPr="00F71E4C">
        <w:t>°</w:t>
      </w:r>
      <w:r w:rsidR="006D7A64" w:rsidRPr="00F71E4C">
        <w:t xml:space="preserve"> 31.540W </w:t>
      </w:r>
      <w:r w:rsidR="00C11950" w:rsidRPr="00F71E4C">
        <w:t>and north of a line starting from the Subarea b</w:t>
      </w:r>
      <w:r w:rsidR="002A4B41" w:rsidRPr="00F71E4C">
        <w:t>oundary at Sarah Head (52</w:t>
      </w:r>
      <w:r w:rsidR="00905A67" w:rsidRPr="00F71E4C">
        <w:t>°</w:t>
      </w:r>
      <w:r w:rsidR="002A4B41" w:rsidRPr="00F71E4C">
        <w:t xml:space="preserve"> 53.012’N and 128</w:t>
      </w:r>
      <w:r w:rsidR="00905A67" w:rsidRPr="00F71E4C">
        <w:t>°</w:t>
      </w:r>
      <w:r w:rsidR="002A4B41" w:rsidRPr="00F71E4C">
        <w:t xml:space="preserve"> 30.634’W</w:t>
      </w:r>
      <w:r w:rsidR="00C11950" w:rsidRPr="00F71E4C">
        <w:t>) west to a point on Tolmie Head at 52</w:t>
      </w:r>
      <w:r w:rsidR="00905A67" w:rsidRPr="00F71E4C">
        <w:t>°</w:t>
      </w:r>
      <w:r w:rsidR="00C11950" w:rsidRPr="00F71E4C">
        <w:t xml:space="preserve"> 53.068’N and 128</w:t>
      </w:r>
      <w:r w:rsidR="00905A67" w:rsidRPr="00F71E4C">
        <w:t>°</w:t>
      </w:r>
      <w:r w:rsidR="00C11950" w:rsidRPr="00F71E4C">
        <w:t xml:space="preserve"> 31.796’W.</w:t>
      </w:r>
      <w:r w:rsidR="00541010" w:rsidRPr="00F71E4C">
        <w:t xml:space="preserve"> (Established in 2011: Commercial No-Take Reserve</w:t>
      </w:r>
      <w:r w:rsidR="00C11950" w:rsidRPr="00F71E4C">
        <w:t>)</w:t>
      </w:r>
    </w:p>
    <w:p w14:paraId="517CC1E1" w14:textId="77777777" w:rsidR="0000396D" w:rsidRPr="00F71E4C" w:rsidRDefault="0000396D" w:rsidP="0000396D">
      <w:pPr>
        <w:pStyle w:val="Heading4"/>
      </w:pPr>
      <w:proofErr w:type="spellStart"/>
      <w:r w:rsidRPr="00F71E4C">
        <w:t>Khutze</w:t>
      </w:r>
      <w:proofErr w:type="spellEnd"/>
      <w:r w:rsidRPr="00F71E4C">
        <w:t xml:space="preserve"> Inlet</w:t>
      </w:r>
      <w:r w:rsidR="006F17B2" w:rsidRPr="00F71E4C">
        <w:t xml:space="preserve"> CNTR</w:t>
      </w:r>
      <w:r w:rsidRPr="00F71E4C">
        <w:t xml:space="preserve">: Subarea 6-23. (Established 2011: </w:t>
      </w:r>
      <w:r w:rsidR="00541010" w:rsidRPr="00F71E4C">
        <w:t>Commercial No-Take Reserve</w:t>
      </w:r>
      <w:r w:rsidRPr="00F71E4C">
        <w:t>)</w:t>
      </w:r>
    </w:p>
    <w:p w14:paraId="3A26B94B" w14:textId="77777777" w:rsidR="0000396D" w:rsidRPr="00F71E4C" w:rsidRDefault="0000396D" w:rsidP="00A61861">
      <w:pPr>
        <w:pStyle w:val="Heading4"/>
      </w:pPr>
      <w:r w:rsidRPr="00F71E4C">
        <w:t>Meyers Pass: Subarea 6-25. (Established 2014: First Nations access for food, social and ceremonial purposes)</w:t>
      </w:r>
    </w:p>
    <w:p w14:paraId="7A9F4E68" w14:textId="77777777" w:rsidR="007574C5" w:rsidRPr="00F71E4C" w:rsidRDefault="007574C5" w:rsidP="007574C5">
      <w:pPr>
        <w:pStyle w:val="Heading3"/>
      </w:pPr>
      <w:r w:rsidRPr="00F71E4C">
        <w:t>Area 7</w:t>
      </w:r>
    </w:p>
    <w:p w14:paraId="4C8FD5A8" w14:textId="77777777" w:rsidR="0000396D" w:rsidRPr="00F71E4C" w:rsidRDefault="0000396D" w:rsidP="007574C5">
      <w:pPr>
        <w:pStyle w:val="Heading4"/>
      </w:pPr>
      <w:r w:rsidRPr="00F71E4C">
        <w:t>Mid-Finlayson Channel: Subarea 7-5. (Established 2014: First Nations access for food, social and ceremonial purposes)</w:t>
      </w:r>
    </w:p>
    <w:p w14:paraId="45045AD5" w14:textId="77777777" w:rsidR="0000396D" w:rsidRPr="00F71E4C" w:rsidRDefault="0000396D" w:rsidP="007574C5">
      <w:pPr>
        <w:pStyle w:val="Heading4"/>
      </w:pPr>
      <w:r w:rsidRPr="00F71E4C">
        <w:t>Mussel Inlet</w:t>
      </w:r>
      <w:r w:rsidR="0074692C" w:rsidRPr="00F71E4C">
        <w:t xml:space="preserve"> CNTR</w:t>
      </w:r>
      <w:r w:rsidRPr="00F71E4C">
        <w:t>: Subarea 7-7 (Established 2014: Commercial No-Take Reserve)</w:t>
      </w:r>
    </w:p>
    <w:p w14:paraId="531D7E2F" w14:textId="77777777" w:rsidR="007574C5" w:rsidRPr="00F71E4C" w:rsidRDefault="0000396D" w:rsidP="007574C5">
      <w:pPr>
        <w:pStyle w:val="Heading4"/>
      </w:pPr>
      <w:r w:rsidRPr="00F71E4C">
        <w:t>Oscar Pass</w:t>
      </w:r>
      <w:r w:rsidR="0074692C" w:rsidRPr="00F71E4C">
        <w:t xml:space="preserve"> CNTR</w:t>
      </w:r>
      <w:r w:rsidR="007574C5" w:rsidRPr="00F71E4C">
        <w:t xml:space="preserve">: </w:t>
      </w:r>
      <w:r w:rsidR="0074692C" w:rsidRPr="00F71E4C">
        <w:t xml:space="preserve">That portion of Subarea 7-9 west of a line starting at </w:t>
      </w:r>
      <w:proofErr w:type="spellStart"/>
      <w:r w:rsidR="0074692C" w:rsidRPr="00F71E4C">
        <w:t>Miall</w:t>
      </w:r>
      <w:proofErr w:type="spellEnd"/>
      <w:r w:rsidR="0074692C" w:rsidRPr="00F71E4C">
        <w:t xml:space="preserve"> Point (52</w:t>
      </w:r>
      <w:r w:rsidR="00905A67" w:rsidRPr="00F71E4C">
        <w:t>°</w:t>
      </w:r>
      <w:r w:rsidR="0074692C" w:rsidRPr="00F71E4C">
        <w:t xml:space="preserve"> 29.595’N and 128</w:t>
      </w:r>
      <w:r w:rsidR="00905A67" w:rsidRPr="00F71E4C">
        <w:t>°</w:t>
      </w:r>
      <w:r w:rsidR="0074692C" w:rsidRPr="00F71E4C">
        <w:t xml:space="preserve"> 16.147’W) and a point along Buckley Head at 52</w:t>
      </w:r>
      <w:r w:rsidR="00905A67" w:rsidRPr="00F71E4C">
        <w:t>°</w:t>
      </w:r>
      <w:r w:rsidR="0074692C" w:rsidRPr="00F71E4C">
        <w:t xml:space="preserve"> 28.494’N and 128</w:t>
      </w:r>
      <w:r w:rsidR="00905A67" w:rsidRPr="00F71E4C">
        <w:t>°</w:t>
      </w:r>
      <w:r w:rsidR="0074692C" w:rsidRPr="00F71E4C">
        <w:t xml:space="preserve"> 16.494’W</w:t>
      </w:r>
      <w:r w:rsidRPr="00F71E4C">
        <w:t xml:space="preserve"> </w:t>
      </w:r>
      <w:r w:rsidR="007574C5" w:rsidRPr="00F71E4C">
        <w:t>(Established 20</w:t>
      </w:r>
      <w:r w:rsidRPr="00F71E4C">
        <w:t>14</w:t>
      </w:r>
      <w:r w:rsidR="007574C5" w:rsidRPr="00F71E4C">
        <w:t xml:space="preserve">: </w:t>
      </w:r>
      <w:r w:rsidRPr="00F71E4C">
        <w:t>Commercial No-Take Reserve</w:t>
      </w:r>
      <w:r w:rsidR="007574C5" w:rsidRPr="00F71E4C">
        <w:t>)</w:t>
      </w:r>
    </w:p>
    <w:p w14:paraId="2D7EC4FD" w14:textId="77777777" w:rsidR="00A92BC1" w:rsidRPr="00F71E4C" w:rsidRDefault="00A92BC1" w:rsidP="00A92BC1">
      <w:pPr>
        <w:pStyle w:val="Heading4"/>
      </w:pPr>
      <w:r w:rsidRPr="00F71E4C">
        <w:t>Berry Inlet</w:t>
      </w:r>
      <w:r w:rsidR="0074692C" w:rsidRPr="00F71E4C">
        <w:t xml:space="preserve"> CNTR</w:t>
      </w:r>
      <w:r w:rsidRPr="00F71E4C">
        <w:t xml:space="preserve">: </w:t>
      </w:r>
      <w:r w:rsidR="000E373C" w:rsidRPr="00F71E4C">
        <w:t>Subarea 7-8 (Established 2011</w:t>
      </w:r>
      <w:r w:rsidRPr="00F71E4C">
        <w:t>:</w:t>
      </w:r>
      <w:r w:rsidR="0000396D" w:rsidRPr="00F71E4C">
        <w:t xml:space="preserve"> Commercial No-Take Reserve</w:t>
      </w:r>
      <w:r w:rsidR="00996EA3" w:rsidRPr="00F71E4C">
        <w:t xml:space="preserve"> –formerly designated as a research area</w:t>
      </w:r>
      <w:r w:rsidRPr="00F71E4C">
        <w:t>).</w:t>
      </w:r>
    </w:p>
    <w:p w14:paraId="7357F7AC" w14:textId="77777777" w:rsidR="007574C5" w:rsidRPr="00F71E4C" w:rsidRDefault="007574C5" w:rsidP="007574C5">
      <w:pPr>
        <w:pStyle w:val="Heading3"/>
      </w:pPr>
      <w:r w:rsidRPr="00F71E4C">
        <w:t>Area 9</w:t>
      </w:r>
    </w:p>
    <w:p w14:paraId="10C5728E" w14:textId="77777777" w:rsidR="007574C5" w:rsidRPr="00F71E4C" w:rsidRDefault="007574C5" w:rsidP="007574C5">
      <w:pPr>
        <w:pStyle w:val="Heading4"/>
      </w:pPr>
      <w:proofErr w:type="spellStart"/>
      <w:r w:rsidRPr="00F71E4C">
        <w:t>Sandell</w:t>
      </w:r>
      <w:proofErr w:type="spellEnd"/>
      <w:r w:rsidRPr="00F71E4C">
        <w:t xml:space="preserve"> Bay</w:t>
      </w:r>
      <w:r w:rsidR="004F5F43" w:rsidRPr="00F71E4C">
        <w:t xml:space="preserve"> CNTR</w:t>
      </w:r>
      <w:r w:rsidRPr="00F71E4C">
        <w:t>: That portion of Subarea</w:t>
      </w:r>
      <w:r w:rsidR="007B7EAE" w:rsidRPr="00F71E4C">
        <w:t xml:space="preserve"> 9-4 </w:t>
      </w:r>
      <w:r w:rsidR="004F45A8" w:rsidRPr="00F71E4C">
        <w:t>N</w:t>
      </w:r>
      <w:r w:rsidR="007B7EAE" w:rsidRPr="00F71E4C">
        <w:t>orth of a line from 51° 38.340’</w:t>
      </w:r>
      <w:r w:rsidRPr="00F71E4C">
        <w:t xml:space="preserve"> N</w:t>
      </w:r>
      <w:r w:rsidR="007B7EAE" w:rsidRPr="00F71E4C">
        <w:t xml:space="preserve"> and  127° 32.880</w:t>
      </w:r>
      <w:r w:rsidR="00817D75" w:rsidRPr="00F71E4C">
        <w:t>’</w:t>
      </w:r>
      <w:r w:rsidR="007B7EAE" w:rsidRPr="00F71E4C">
        <w:rPr>
          <w:vertAlign w:val="superscript"/>
        </w:rPr>
        <w:t xml:space="preserve"> </w:t>
      </w:r>
      <w:r w:rsidR="00817D75" w:rsidRPr="00F71E4C">
        <w:t>W to 51° 38.460’ N and 127</w:t>
      </w:r>
      <w:r w:rsidR="004F45A8" w:rsidRPr="00F71E4C">
        <w:t>°</w:t>
      </w:r>
      <w:r w:rsidR="00817D75" w:rsidRPr="00F71E4C">
        <w:t xml:space="preserve"> 32.040’</w:t>
      </w:r>
      <w:r w:rsidRPr="00F71E4C">
        <w:t xml:space="preserve"> W. (Established 2008: </w:t>
      </w:r>
      <w:r w:rsidR="00541010" w:rsidRPr="00F71E4C">
        <w:t>Commercial No-Take Reserve</w:t>
      </w:r>
      <w:r w:rsidRPr="00F71E4C">
        <w:t>)</w:t>
      </w:r>
    </w:p>
    <w:p w14:paraId="01C868D0" w14:textId="77777777" w:rsidR="0062670A" w:rsidRPr="00F71E4C" w:rsidRDefault="0062670A" w:rsidP="0062670A">
      <w:pPr>
        <w:pStyle w:val="Heading4"/>
      </w:pPr>
      <w:r w:rsidRPr="00F71E4C">
        <w:t>Moses Inlet</w:t>
      </w:r>
      <w:r w:rsidR="004F5F43" w:rsidRPr="00F71E4C">
        <w:t xml:space="preserve"> CNTR</w:t>
      </w:r>
      <w:r w:rsidRPr="00F71E4C">
        <w:t>:  Subareas 9-7 and 9-8</w:t>
      </w:r>
      <w:r w:rsidR="00D71723" w:rsidRPr="00F71E4C">
        <w:t xml:space="preserve">.  </w:t>
      </w:r>
      <w:r w:rsidRPr="00F71E4C">
        <w:t xml:space="preserve">(Established 2008: </w:t>
      </w:r>
      <w:r w:rsidR="00541010" w:rsidRPr="00F71E4C">
        <w:t>Commercial No-Take Reserve</w:t>
      </w:r>
      <w:r w:rsidRPr="00F71E4C">
        <w:t>)</w:t>
      </w:r>
    </w:p>
    <w:p w14:paraId="0069A206" w14:textId="77777777" w:rsidR="00D57ABE" w:rsidRPr="00F71E4C" w:rsidRDefault="00D57ABE" w:rsidP="00D57ABE">
      <w:pPr>
        <w:pStyle w:val="Heading4"/>
      </w:pPr>
      <w:proofErr w:type="spellStart"/>
      <w:r w:rsidRPr="00F71E4C">
        <w:t>Kilbella</w:t>
      </w:r>
      <w:proofErr w:type="spellEnd"/>
      <w:r w:rsidRPr="00F71E4C">
        <w:t xml:space="preserve"> Bay:  That portion of Subarea 9-6 </w:t>
      </w:r>
      <w:r w:rsidR="004F45A8" w:rsidRPr="00F71E4C">
        <w:t>E</w:t>
      </w:r>
      <w:r w:rsidRPr="00F71E4C">
        <w:t xml:space="preserve">ast of </w:t>
      </w:r>
      <w:r w:rsidR="00453271" w:rsidRPr="00F71E4C">
        <w:t>a line</w:t>
      </w:r>
      <w:r w:rsidRPr="00F71E4C">
        <w:t xml:space="preserve"> </w:t>
      </w:r>
      <w:r w:rsidR="00834929" w:rsidRPr="00F71E4C">
        <w:t>at 127° 21.90’</w:t>
      </w:r>
      <w:r w:rsidRPr="00F71E4C">
        <w:t xml:space="preserve"> W latitude.  (Established 2008: Fisheries Management Closure)</w:t>
      </w:r>
    </w:p>
    <w:p w14:paraId="6F7964F8" w14:textId="77777777" w:rsidR="003E1D8B" w:rsidRPr="00F71E4C" w:rsidRDefault="003E1D8B" w:rsidP="003E1D8B">
      <w:pPr>
        <w:pStyle w:val="Heading3"/>
      </w:pPr>
      <w:r w:rsidRPr="00F71E4C">
        <w:t>Area 10</w:t>
      </w:r>
    </w:p>
    <w:p w14:paraId="1F23760D" w14:textId="77777777" w:rsidR="003E1D8B" w:rsidRPr="00F71E4C" w:rsidRDefault="003E1D8B" w:rsidP="003E1D8B">
      <w:pPr>
        <w:pStyle w:val="Heading4"/>
      </w:pPr>
      <w:r w:rsidRPr="00F71E4C">
        <w:t>Margaret Bay</w:t>
      </w:r>
      <w:r w:rsidR="004F5F43" w:rsidRPr="00F71E4C">
        <w:t xml:space="preserve"> CNTR</w:t>
      </w:r>
      <w:r w:rsidRPr="00F71E4C">
        <w:t xml:space="preserve">:  That portion of Subarea 10-5 </w:t>
      </w:r>
      <w:r w:rsidR="004F45A8" w:rsidRPr="00F71E4C">
        <w:t>E</w:t>
      </w:r>
      <w:r w:rsidRPr="00F71E4C">
        <w:t xml:space="preserve">ast </w:t>
      </w:r>
      <w:r w:rsidR="001A6915" w:rsidRPr="00F71E4C">
        <w:t xml:space="preserve">of a line from Ripon Pt. (51° 19.32’ N </w:t>
      </w:r>
      <w:r w:rsidR="00F26A71" w:rsidRPr="00F71E4C">
        <w:t xml:space="preserve">and </w:t>
      </w:r>
      <w:r w:rsidR="001A6915" w:rsidRPr="00F71E4C">
        <w:t xml:space="preserve">127° 32.40’ W) to Olive Pt. (51° 20.22’ N </w:t>
      </w:r>
      <w:r w:rsidR="00F26A71" w:rsidRPr="00F71E4C">
        <w:t xml:space="preserve">and </w:t>
      </w:r>
      <w:r w:rsidR="001A6915" w:rsidRPr="00F71E4C">
        <w:t xml:space="preserve">127° 32.16’ </w:t>
      </w:r>
      <w:r w:rsidRPr="00F71E4C">
        <w:t>W)</w:t>
      </w:r>
      <w:r w:rsidR="00D71723" w:rsidRPr="00F71E4C">
        <w:t xml:space="preserve">.  </w:t>
      </w:r>
      <w:r w:rsidRPr="00F71E4C">
        <w:t xml:space="preserve">(Established 2008: </w:t>
      </w:r>
      <w:r w:rsidR="00541010" w:rsidRPr="00F71E4C">
        <w:t>Commercial No-Take Reserve</w:t>
      </w:r>
      <w:r w:rsidRPr="00F71E4C">
        <w:t>)</w:t>
      </w:r>
    </w:p>
    <w:p w14:paraId="2E749309" w14:textId="77777777" w:rsidR="007574C5" w:rsidRPr="00F71E4C" w:rsidRDefault="003E1D8B" w:rsidP="003E1D8B">
      <w:pPr>
        <w:pStyle w:val="Heading4"/>
      </w:pPr>
      <w:proofErr w:type="spellStart"/>
      <w:r w:rsidRPr="00F71E4C">
        <w:lastRenderedPageBreak/>
        <w:t>Takush</w:t>
      </w:r>
      <w:proofErr w:type="spellEnd"/>
      <w:r w:rsidRPr="00F71E4C">
        <w:t xml:space="preserve"> </w:t>
      </w:r>
      <w:proofErr w:type="spellStart"/>
      <w:r w:rsidRPr="00F71E4C">
        <w:t>Harbour</w:t>
      </w:r>
      <w:proofErr w:type="spellEnd"/>
      <w:r w:rsidR="004F5F43" w:rsidRPr="00F71E4C">
        <w:t xml:space="preserve"> CNTR</w:t>
      </w:r>
      <w:r w:rsidRPr="00F71E4C">
        <w:t xml:space="preserve">:  That portion </w:t>
      </w:r>
      <w:r w:rsidR="001A6915" w:rsidRPr="00F71E4C">
        <w:t>of Subarea 10-12 West of 127</w:t>
      </w:r>
      <w:r w:rsidR="00F26A71" w:rsidRPr="00F71E4C">
        <w:t>°</w:t>
      </w:r>
      <w:r w:rsidR="001A6915" w:rsidRPr="00F71E4C">
        <w:t xml:space="preserve"> 35.52’ </w:t>
      </w:r>
      <w:r w:rsidRPr="00F71E4C">
        <w:t>W latitude and South of the Subarea Boundary Line (Wakas Pt. (51</w:t>
      </w:r>
      <w:r w:rsidR="00F26A71" w:rsidRPr="00F71E4C">
        <w:t>°</w:t>
      </w:r>
      <w:r w:rsidR="001A6915" w:rsidRPr="00F71E4C">
        <w:t xml:space="preserve"> 17.46’ N </w:t>
      </w:r>
      <w:r w:rsidR="00F26A71" w:rsidRPr="00F71E4C">
        <w:t xml:space="preserve">and </w:t>
      </w:r>
      <w:r w:rsidR="001A6915" w:rsidRPr="00F71E4C">
        <w:t>127</w:t>
      </w:r>
      <w:r w:rsidR="00F26A71" w:rsidRPr="00F71E4C">
        <w:t>°</w:t>
      </w:r>
      <w:r w:rsidR="001A6915" w:rsidRPr="00F71E4C">
        <w:t xml:space="preserve"> 38.16’ W) to </w:t>
      </w:r>
      <w:proofErr w:type="spellStart"/>
      <w:r w:rsidR="001A6915" w:rsidRPr="00F71E4C">
        <w:t>Gikumi</w:t>
      </w:r>
      <w:proofErr w:type="spellEnd"/>
      <w:r w:rsidR="001A6915" w:rsidRPr="00F71E4C">
        <w:t xml:space="preserve"> Pt. (51</w:t>
      </w:r>
      <w:r w:rsidR="00F26A71" w:rsidRPr="00F71E4C">
        <w:t>°</w:t>
      </w:r>
      <w:r w:rsidR="001A6915" w:rsidRPr="00F71E4C">
        <w:t xml:space="preserve"> 17.70’ N </w:t>
      </w:r>
      <w:r w:rsidR="00F26A71" w:rsidRPr="00F71E4C">
        <w:t xml:space="preserve">and </w:t>
      </w:r>
      <w:r w:rsidR="001A6915" w:rsidRPr="00F71E4C">
        <w:t>127</w:t>
      </w:r>
      <w:r w:rsidR="00F26A71" w:rsidRPr="00F71E4C">
        <w:t>°</w:t>
      </w:r>
      <w:r w:rsidR="001A6915" w:rsidRPr="00F71E4C">
        <w:t xml:space="preserve"> </w:t>
      </w:r>
      <w:r w:rsidR="00F26A71" w:rsidRPr="00F71E4C">
        <w:t xml:space="preserve">36.78’ </w:t>
      </w:r>
      <w:r w:rsidR="00351E19" w:rsidRPr="00F71E4C">
        <w:t>W</w:t>
      </w:r>
      <w:r w:rsidRPr="00F71E4C">
        <w:t>)</w:t>
      </w:r>
      <w:r w:rsidR="00D71723" w:rsidRPr="00F71E4C">
        <w:t xml:space="preserve">.  </w:t>
      </w:r>
      <w:r w:rsidRPr="00F71E4C">
        <w:t xml:space="preserve">(Established 2008: </w:t>
      </w:r>
      <w:r w:rsidR="00541010" w:rsidRPr="00F71E4C">
        <w:t>Commercial No-Take Reserve</w:t>
      </w:r>
      <w:r w:rsidRPr="00F71E4C">
        <w:t>)</w:t>
      </w:r>
    </w:p>
    <w:p w14:paraId="49399098" w14:textId="77777777" w:rsidR="005A2A71" w:rsidRPr="00F71E4C" w:rsidRDefault="00E94292" w:rsidP="005A2A71">
      <w:pPr>
        <w:pStyle w:val="Heading3"/>
      </w:pPr>
      <w:r w:rsidRPr="00F71E4C">
        <w:t>Area 11</w:t>
      </w:r>
    </w:p>
    <w:p w14:paraId="406CE645" w14:textId="77777777" w:rsidR="005A2A71" w:rsidRPr="00F71E4C" w:rsidRDefault="00E94292" w:rsidP="005A2A71">
      <w:pPr>
        <w:pStyle w:val="Heading4"/>
      </w:pPr>
      <w:r w:rsidRPr="00F71E4C">
        <w:t>Nugent Sound</w:t>
      </w:r>
      <w:r w:rsidR="004F5F43" w:rsidRPr="00F71E4C">
        <w:t xml:space="preserve"> CNTR</w:t>
      </w:r>
      <w:r w:rsidRPr="00F71E4C">
        <w:t xml:space="preserve">: Subarea 11-8. (Established 2012: </w:t>
      </w:r>
      <w:r w:rsidR="00541010" w:rsidRPr="00F71E4C">
        <w:t>Commercial No-Take Reserve</w:t>
      </w:r>
      <w:r w:rsidRPr="00F71E4C">
        <w:t>)</w:t>
      </w:r>
    </w:p>
    <w:p w14:paraId="2CCAB0BF" w14:textId="77777777" w:rsidR="000367B5" w:rsidRPr="00F71E4C" w:rsidRDefault="000367B5" w:rsidP="00DA205F">
      <w:pPr>
        <w:pStyle w:val="Heading3"/>
      </w:pPr>
      <w:bookmarkStart w:id="140" w:name="_Toc429207343"/>
      <w:r w:rsidRPr="00F71E4C">
        <w:t>Area 12</w:t>
      </w:r>
      <w:bookmarkEnd w:id="140"/>
    </w:p>
    <w:p w14:paraId="76EB5465" w14:textId="77777777" w:rsidR="008D6243" w:rsidRPr="00F71E4C" w:rsidRDefault="00614025" w:rsidP="00E0106C">
      <w:pPr>
        <w:pStyle w:val="Heading4"/>
      </w:pPr>
      <w:bookmarkStart w:id="141" w:name="PortNeville"/>
      <w:r w:rsidRPr="00F71E4C">
        <w:t xml:space="preserve">Lower Queen Charlotte Strait CNTR: </w:t>
      </w:r>
      <w:r w:rsidR="008D6243" w:rsidRPr="00F71E4C">
        <w:t xml:space="preserve">Subarea 12-6.  (Established 2009: </w:t>
      </w:r>
      <w:r w:rsidR="00541010" w:rsidRPr="00F71E4C">
        <w:t>Commercial No-Take Reserve</w:t>
      </w:r>
      <w:r w:rsidR="008D6243" w:rsidRPr="00F71E4C">
        <w:t>)</w:t>
      </w:r>
    </w:p>
    <w:p w14:paraId="3D118BB2" w14:textId="77777777" w:rsidR="000367B5" w:rsidRPr="00F71E4C" w:rsidRDefault="000367B5" w:rsidP="00E0106C">
      <w:pPr>
        <w:pStyle w:val="Heading4"/>
      </w:pPr>
      <w:r w:rsidRPr="00F71E4C">
        <w:t>Port Neville</w:t>
      </w:r>
      <w:r w:rsidR="00614025" w:rsidRPr="00F71E4C">
        <w:t xml:space="preserve"> CNTR</w:t>
      </w:r>
      <w:r w:rsidRPr="00F71E4C">
        <w:t>: Subarea 12-25.</w:t>
      </w:r>
      <w:r w:rsidR="00CA297C" w:rsidRPr="00F71E4C">
        <w:t xml:space="preserve">  </w:t>
      </w:r>
      <w:r w:rsidRPr="00F71E4C">
        <w:t>(</w:t>
      </w:r>
      <w:bookmarkEnd w:id="141"/>
      <w:r w:rsidR="00614025" w:rsidRPr="00F71E4C">
        <w:t>Commercial No-Take Reserve)</w:t>
      </w:r>
    </w:p>
    <w:p w14:paraId="6528FFCE" w14:textId="77777777" w:rsidR="000367B5" w:rsidRPr="00F71E4C" w:rsidRDefault="000367B5" w:rsidP="00DA205F">
      <w:pPr>
        <w:pStyle w:val="Heading3"/>
      </w:pPr>
      <w:bookmarkStart w:id="142" w:name="_Toc429207344"/>
      <w:r w:rsidRPr="00F71E4C">
        <w:t>Area 13</w:t>
      </w:r>
      <w:bookmarkEnd w:id="142"/>
    </w:p>
    <w:p w14:paraId="70EA815C" w14:textId="77777777" w:rsidR="000367B5" w:rsidRPr="00F71E4C" w:rsidRDefault="000367B5" w:rsidP="00E0106C">
      <w:pPr>
        <w:pStyle w:val="Heading4"/>
      </w:pPr>
      <w:bookmarkStart w:id="143" w:name="Discovery"/>
      <w:r w:rsidRPr="00F71E4C">
        <w:t>Discovery Passage: Subareas 13-3, 13-4, 13-5 and a portion of 13-6</w:t>
      </w:r>
      <w:r w:rsidR="00700361" w:rsidRPr="00F71E4C">
        <w:t>.  T</w:t>
      </w:r>
      <w:r w:rsidRPr="00F71E4C">
        <w:t xml:space="preserve">hose waters of Discovery Passage bounded on the north by a straight line drawn true west from North Bluff on Quadra Island, across Seymour Narrows to a fishing boundary sign on Vancouver Island, and on the south by a line from the Cape </w:t>
      </w:r>
      <w:proofErr w:type="spellStart"/>
      <w:r w:rsidRPr="00F71E4C">
        <w:t>Mudge</w:t>
      </w:r>
      <w:proofErr w:type="spellEnd"/>
      <w:r w:rsidRPr="00F71E4C">
        <w:t xml:space="preserve"> light true west to Vancouver Island.</w:t>
      </w:r>
      <w:r w:rsidR="00CA297C" w:rsidRPr="00F71E4C">
        <w:t xml:space="preserve">  </w:t>
      </w:r>
      <w:r w:rsidRPr="00F71E4C">
        <w:t>(Marine Reserve)</w:t>
      </w:r>
      <w:bookmarkEnd w:id="143"/>
    </w:p>
    <w:p w14:paraId="6F71AC77" w14:textId="77777777" w:rsidR="000367B5" w:rsidRPr="00F71E4C" w:rsidRDefault="000367B5" w:rsidP="00E0106C">
      <w:pPr>
        <w:pStyle w:val="Heading4"/>
      </w:pPr>
      <w:bookmarkStart w:id="144" w:name="Mitlenatch_13"/>
      <w:proofErr w:type="spellStart"/>
      <w:r w:rsidRPr="00F71E4C">
        <w:t>Mitlenatch</w:t>
      </w:r>
      <w:proofErr w:type="spellEnd"/>
      <w:r w:rsidRPr="00F71E4C">
        <w:t xml:space="preserve"> Nature Park: (As described in Area 15 Closures)</w:t>
      </w:r>
      <w:bookmarkEnd w:id="144"/>
      <w:r w:rsidRPr="00F71E4C">
        <w:t>.</w:t>
      </w:r>
    </w:p>
    <w:p w14:paraId="76F24FC8" w14:textId="77777777" w:rsidR="003E1D8B" w:rsidRPr="00F71E4C" w:rsidRDefault="003E1D8B" w:rsidP="003E1D8B">
      <w:pPr>
        <w:pStyle w:val="Heading4"/>
      </w:pPr>
      <w:proofErr w:type="spellStart"/>
      <w:r w:rsidRPr="00F71E4C">
        <w:t>Okisollo</w:t>
      </w:r>
      <w:proofErr w:type="spellEnd"/>
      <w:r w:rsidRPr="00F71E4C">
        <w:t xml:space="preserve"> Channel</w:t>
      </w:r>
      <w:r w:rsidR="00614025" w:rsidRPr="00F71E4C">
        <w:t xml:space="preserve"> CNTR</w:t>
      </w:r>
      <w:r w:rsidRPr="00F71E4C">
        <w:t xml:space="preserve">: Subarea 13-10.  (Established 2008: </w:t>
      </w:r>
      <w:r w:rsidR="00541010" w:rsidRPr="00F71E4C">
        <w:t>Commercial No-Take Reserve</w:t>
      </w:r>
      <w:r w:rsidRPr="00F71E4C">
        <w:t>)</w:t>
      </w:r>
    </w:p>
    <w:p w14:paraId="48EBA3EA" w14:textId="77777777" w:rsidR="000367B5" w:rsidRPr="00F71E4C" w:rsidRDefault="000367B5" w:rsidP="008853FF">
      <w:pPr>
        <w:pStyle w:val="Heading3"/>
      </w:pPr>
      <w:bookmarkStart w:id="145" w:name="_Toc429207345"/>
      <w:r w:rsidRPr="00F71E4C">
        <w:t>Area 14</w:t>
      </w:r>
      <w:bookmarkEnd w:id="145"/>
    </w:p>
    <w:p w14:paraId="12FC3661" w14:textId="77777777" w:rsidR="000367B5" w:rsidRPr="00F71E4C" w:rsidRDefault="000367B5" w:rsidP="00E0106C">
      <w:pPr>
        <w:pStyle w:val="Heading4"/>
      </w:pPr>
      <w:bookmarkStart w:id="146" w:name="Hornby"/>
      <w:r w:rsidRPr="00F71E4C">
        <w:t>Hornby Island: Those waters of Lambert Channel and the Strait of Georgia, Subarea 14-7, inside a line commencing at Shingle Spit on Hornby Island, thence 239</w:t>
      </w:r>
      <w:r w:rsidR="000208C9" w:rsidRPr="00F71E4C">
        <w:t xml:space="preserve"> degrees</w:t>
      </w:r>
      <w:r w:rsidRPr="00F71E4C">
        <w:t xml:space="preserve"> true for 0.5 nautical miles, thence 126</w:t>
      </w:r>
      <w:r w:rsidR="000208C9" w:rsidRPr="00F71E4C">
        <w:t xml:space="preserve"> degrees</w:t>
      </w:r>
      <w:r w:rsidRPr="00F71E4C">
        <w:t xml:space="preserve"> true for 3.5 nautical miles, thence 64</w:t>
      </w:r>
      <w:r w:rsidR="000208C9" w:rsidRPr="00F71E4C">
        <w:t xml:space="preserve"> degrees</w:t>
      </w:r>
      <w:r w:rsidRPr="00F71E4C">
        <w:t xml:space="preserve"> true for 4.9 nautical miles, thence 304</w:t>
      </w:r>
      <w:r w:rsidR="000208C9" w:rsidRPr="00F71E4C">
        <w:t xml:space="preserve"> degrees</w:t>
      </w:r>
      <w:r w:rsidRPr="00F71E4C">
        <w:t xml:space="preserve"> true for 2.9 nautical miles, thence 213</w:t>
      </w:r>
      <w:r w:rsidR="000208C9" w:rsidRPr="00F71E4C">
        <w:t xml:space="preserve"> degrees</w:t>
      </w:r>
      <w:r w:rsidRPr="00F71E4C">
        <w:t xml:space="preserve"> true for 0.5 nautical miles to Cape Gurney on Hornby Island.</w:t>
      </w:r>
      <w:r w:rsidR="00CA297C" w:rsidRPr="00F71E4C">
        <w:t xml:space="preserve">  </w:t>
      </w:r>
      <w:r w:rsidRPr="00F71E4C">
        <w:t>(Marine Reserve)</w:t>
      </w:r>
      <w:bookmarkEnd w:id="146"/>
    </w:p>
    <w:p w14:paraId="70BEF011" w14:textId="77777777" w:rsidR="000367B5" w:rsidRPr="00F71E4C" w:rsidRDefault="000367B5" w:rsidP="00E0106C">
      <w:pPr>
        <w:pStyle w:val="Heading4"/>
      </w:pPr>
      <w:bookmarkStart w:id="147" w:name="Mitlenatch_14"/>
      <w:proofErr w:type="spellStart"/>
      <w:r w:rsidRPr="00F71E4C">
        <w:t>Mitlenatch</w:t>
      </w:r>
      <w:proofErr w:type="spellEnd"/>
      <w:r w:rsidRPr="00F71E4C">
        <w:t xml:space="preserve"> Nature Park: (As described in Area 15 Closures)</w:t>
      </w:r>
      <w:bookmarkEnd w:id="147"/>
      <w:r w:rsidRPr="00F71E4C">
        <w:t>.</w:t>
      </w:r>
    </w:p>
    <w:p w14:paraId="680CAB4B" w14:textId="77777777" w:rsidR="00A63D76" w:rsidRPr="00F71E4C" w:rsidRDefault="000367B5" w:rsidP="00A63D76">
      <w:pPr>
        <w:pStyle w:val="Heading3"/>
      </w:pPr>
      <w:bookmarkStart w:id="148" w:name="_Toc429207346"/>
      <w:r w:rsidRPr="00F71E4C">
        <w:t>Area 15</w:t>
      </w:r>
      <w:bookmarkEnd w:id="148"/>
    </w:p>
    <w:p w14:paraId="49144479" w14:textId="77777777" w:rsidR="000367B5" w:rsidRPr="00F71E4C" w:rsidRDefault="000367B5" w:rsidP="00E0106C">
      <w:pPr>
        <w:pStyle w:val="Heading4"/>
      </w:pPr>
      <w:bookmarkStart w:id="149" w:name="A15"/>
      <w:r w:rsidRPr="00F71E4C">
        <w:t>All waters within 0.5 nautical miles of Vivian Island located approximately 5.0 nautical miles west of Powell River in Subarea 15-2.</w:t>
      </w:r>
      <w:r w:rsidR="00CA297C" w:rsidRPr="00F71E4C">
        <w:t xml:space="preserve">  </w:t>
      </w:r>
      <w:r w:rsidRPr="00F71E4C">
        <w:t>(Marine Reserve)</w:t>
      </w:r>
    </w:p>
    <w:p w14:paraId="2993A2D6" w14:textId="77777777" w:rsidR="000367B5" w:rsidRPr="00F71E4C" w:rsidRDefault="000367B5" w:rsidP="00E0106C">
      <w:pPr>
        <w:pStyle w:val="Heading4"/>
      </w:pPr>
      <w:r w:rsidRPr="00F71E4C">
        <w:t>All waters within 0.25 nautical miles of Rebecca Rock, located 2.5 nautical miles west of Powell River in Subarea 15-2.</w:t>
      </w:r>
      <w:r w:rsidR="00CA297C" w:rsidRPr="00F71E4C">
        <w:t xml:space="preserve">  </w:t>
      </w:r>
      <w:r w:rsidRPr="00F71E4C">
        <w:t>(Marine Reserve)</w:t>
      </w:r>
    </w:p>
    <w:p w14:paraId="1FDAAD28" w14:textId="77777777" w:rsidR="000367B5" w:rsidRPr="00F71E4C" w:rsidRDefault="000367B5" w:rsidP="00E0106C">
      <w:pPr>
        <w:pStyle w:val="Heading4"/>
      </w:pPr>
      <w:r w:rsidRPr="00F71E4C">
        <w:lastRenderedPageBreak/>
        <w:t>All waters within 0.25 nautical miles of Dinner Rock, located 2.5 nautical miles south of Lund in Subarea 15-2.</w:t>
      </w:r>
      <w:r w:rsidR="00CA297C" w:rsidRPr="00F71E4C">
        <w:t xml:space="preserve">  </w:t>
      </w:r>
      <w:r w:rsidRPr="00F71E4C">
        <w:t>(Marine Reserve)</w:t>
      </w:r>
    </w:p>
    <w:p w14:paraId="2331A0F7" w14:textId="77777777" w:rsidR="000367B5" w:rsidRPr="00F71E4C" w:rsidRDefault="000367B5" w:rsidP="00E0106C">
      <w:pPr>
        <w:pStyle w:val="Heading4"/>
      </w:pPr>
      <w:r w:rsidRPr="00F71E4C">
        <w:t xml:space="preserve">All waters within 0.5 nautical miles of the unnamed reef off </w:t>
      </w:r>
      <w:proofErr w:type="spellStart"/>
      <w:r w:rsidRPr="00F71E4C">
        <w:t>Emmonds</w:t>
      </w:r>
      <w:proofErr w:type="spellEnd"/>
      <w:r w:rsidRPr="00F71E4C">
        <w:t xml:space="preserve"> Beach, located approximately 4.0 nautical miles south of Lund in Subarea 15-2.</w:t>
      </w:r>
      <w:r w:rsidR="00CA297C" w:rsidRPr="00F71E4C">
        <w:t xml:space="preserve">  </w:t>
      </w:r>
      <w:r w:rsidRPr="00F71E4C">
        <w:t>(Marine Reserve)</w:t>
      </w:r>
    </w:p>
    <w:p w14:paraId="41F8D782" w14:textId="77777777" w:rsidR="000367B5" w:rsidRPr="00F71E4C" w:rsidRDefault="000367B5" w:rsidP="00E0106C">
      <w:pPr>
        <w:pStyle w:val="Heading4"/>
      </w:pPr>
      <w:r w:rsidRPr="00F71E4C">
        <w:t xml:space="preserve">All waters within 1.0 nautical mile of </w:t>
      </w:r>
      <w:proofErr w:type="spellStart"/>
      <w:r w:rsidRPr="00F71E4C">
        <w:t>Mitlenatch</w:t>
      </w:r>
      <w:proofErr w:type="spellEnd"/>
      <w:r w:rsidRPr="00F71E4C">
        <w:t xml:space="preserve"> Island, located in the upper Strait of Georgia intersected by the Subareas 15-2, 13-1, 13-3 and 14-13.</w:t>
      </w:r>
      <w:r w:rsidR="00CA297C" w:rsidRPr="00F71E4C">
        <w:t xml:space="preserve">  </w:t>
      </w:r>
      <w:r w:rsidRPr="00F71E4C">
        <w:t>(Marine Reserve)</w:t>
      </w:r>
    </w:p>
    <w:p w14:paraId="02705D6A" w14:textId="77777777" w:rsidR="000367B5" w:rsidRPr="00F71E4C" w:rsidRDefault="000367B5" w:rsidP="00E0106C">
      <w:pPr>
        <w:pStyle w:val="Heading4"/>
      </w:pPr>
      <w:r w:rsidRPr="00F71E4C">
        <w:t>All waters within a 0.25 nautical mile radius of the southerly end of the Beach Gardens breakwater in Subarea 15-2.</w:t>
      </w:r>
      <w:r w:rsidR="00CA297C" w:rsidRPr="00F71E4C">
        <w:t xml:space="preserve">  </w:t>
      </w:r>
      <w:r w:rsidRPr="00F71E4C">
        <w:t>(Marine Reserve)</w:t>
      </w:r>
    </w:p>
    <w:p w14:paraId="2BBC4E0D" w14:textId="77777777" w:rsidR="00E94292" w:rsidRPr="00F71E4C" w:rsidRDefault="00E94292" w:rsidP="00E94292">
      <w:pPr>
        <w:pStyle w:val="Heading4"/>
      </w:pPr>
      <w:r w:rsidRPr="00F71E4C">
        <w:t>Toba Inlet</w:t>
      </w:r>
      <w:r w:rsidR="00614025" w:rsidRPr="00F71E4C">
        <w:t xml:space="preserve"> CNTR</w:t>
      </w:r>
      <w:r w:rsidRPr="00F71E4C">
        <w:t>: Subarea 15-6 (Established 2012:</w:t>
      </w:r>
      <w:r w:rsidR="00541010" w:rsidRPr="00F71E4C">
        <w:t xml:space="preserve"> Commercial No-Take Reserve</w:t>
      </w:r>
      <w:r w:rsidRPr="00F71E4C">
        <w:t>).</w:t>
      </w:r>
    </w:p>
    <w:p w14:paraId="720B1872" w14:textId="77777777" w:rsidR="00B82100" w:rsidRPr="00F71E4C" w:rsidRDefault="000367B5" w:rsidP="00B82100">
      <w:pPr>
        <w:pStyle w:val="Heading3"/>
      </w:pPr>
      <w:bookmarkStart w:id="150" w:name="_Toc429207347"/>
      <w:bookmarkEnd w:id="149"/>
      <w:r w:rsidRPr="00F71E4C">
        <w:t>Area 16</w:t>
      </w:r>
      <w:bookmarkEnd w:id="150"/>
    </w:p>
    <w:p w14:paraId="2EB5C873" w14:textId="77777777" w:rsidR="000367B5" w:rsidRPr="00F71E4C" w:rsidRDefault="000367B5" w:rsidP="00E0106C">
      <w:pPr>
        <w:pStyle w:val="Heading4"/>
      </w:pPr>
      <w:bookmarkStart w:id="151" w:name="A16_3"/>
      <w:r w:rsidRPr="00F71E4C">
        <w:t xml:space="preserve">Subareas 16-3 (Bargain Bay), 16-4 (Pender </w:t>
      </w:r>
      <w:proofErr w:type="spellStart"/>
      <w:r w:rsidRPr="00F71E4C">
        <w:t>Harbour</w:t>
      </w:r>
      <w:proofErr w:type="spellEnd"/>
      <w:r w:rsidRPr="00F71E4C">
        <w:t>) and 16-5 (Head of Sechelt Inlet).</w:t>
      </w:r>
      <w:r w:rsidR="00CA297C" w:rsidRPr="00F71E4C">
        <w:t xml:space="preserve">  </w:t>
      </w:r>
      <w:r w:rsidRPr="00F71E4C">
        <w:t>(Navigational Closure)</w:t>
      </w:r>
      <w:bookmarkEnd w:id="151"/>
    </w:p>
    <w:p w14:paraId="0ED7A126" w14:textId="77777777" w:rsidR="00B82100" w:rsidRPr="00F71E4C" w:rsidRDefault="000367B5" w:rsidP="00614025">
      <w:pPr>
        <w:pStyle w:val="Heading4"/>
      </w:pPr>
      <w:bookmarkStart w:id="152" w:name="Skookumchuck"/>
      <w:proofErr w:type="spellStart"/>
      <w:r w:rsidRPr="00F71E4C">
        <w:t>Skookumchuck</w:t>
      </w:r>
      <w:proofErr w:type="spellEnd"/>
      <w:r w:rsidRPr="00F71E4C">
        <w:t xml:space="preserve"> Narrows Provincial Park: Those waters of </w:t>
      </w:r>
      <w:proofErr w:type="spellStart"/>
      <w:r w:rsidRPr="00F71E4C">
        <w:t>Skookumchuck</w:t>
      </w:r>
      <w:proofErr w:type="spellEnd"/>
      <w:r w:rsidRPr="00F71E4C">
        <w:t xml:space="preserve"> Narrows and Sechelt Rapids in Subarea 16-9 bounded on the </w:t>
      </w:r>
      <w:r w:rsidR="004F45A8" w:rsidRPr="00F71E4C">
        <w:t>W</w:t>
      </w:r>
      <w:r w:rsidRPr="00F71E4C">
        <w:t>est by a line from a point on the foreshore at the westerly limit of Secret Bay on Sechelt Peninsula thence 50</w:t>
      </w:r>
      <w:r w:rsidR="000208C9" w:rsidRPr="00F71E4C">
        <w:t xml:space="preserve"> degrees</w:t>
      </w:r>
      <w:r w:rsidRPr="00F71E4C">
        <w:t xml:space="preserve"> true to a point on the foreshore on the mainland; and the </w:t>
      </w:r>
      <w:r w:rsidR="004F45A8" w:rsidRPr="00F71E4C">
        <w:t>E</w:t>
      </w:r>
      <w:r w:rsidRPr="00F71E4C">
        <w:t xml:space="preserve">ast by a line from </w:t>
      </w:r>
      <w:proofErr w:type="spellStart"/>
      <w:r w:rsidRPr="00F71E4C">
        <w:t>Raland</w:t>
      </w:r>
      <w:proofErr w:type="spellEnd"/>
      <w:r w:rsidRPr="00F71E4C">
        <w:t xml:space="preserve"> Point on Sechelt Peninsula, thence 50</w:t>
      </w:r>
      <w:r w:rsidR="000208C9" w:rsidRPr="00F71E4C">
        <w:t xml:space="preserve"> degrees</w:t>
      </w:r>
      <w:r w:rsidRPr="00F71E4C">
        <w:t xml:space="preserve"> true to a point on the foreshore on the mainland</w:t>
      </w:r>
      <w:r w:rsidR="00CA297C" w:rsidRPr="00F71E4C">
        <w:t>.  (</w:t>
      </w:r>
      <w:r w:rsidRPr="00F71E4C">
        <w:t>Park)</w:t>
      </w:r>
      <w:bookmarkEnd w:id="152"/>
    </w:p>
    <w:p w14:paraId="014DD938" w14:textId="77777777" w:rsidR="00B82100" w:rsidRPr="00F71E4C" w:rsidRDefault="004F5F43" w:rsidP="00B82100">
      <w:pPr>
        <w:pStyle w:val="Heading4"/>
      </w:pPr>
      <w:r w:rsidRPr="00F71E4C">
        <w:t>Jervis Inlet CNTR: Subarea 16-14</w:t>
      </w:r>
      <w:r w:rsidR="00B82100" w:rsidRPr="00F71E4C">
        <w:t xml:space="preserve">. (Established 2011: </w:t>
      </w:r>
      <w:r w:rsidR="00541010" w:rsidRPr="00F71E4C">
        <w:t>Commercial No-Take Reserve</w:t>
      </w:r>
      <w:r w:rsidR="00B82100" w:rsidRPr="00F71E4C">
        <w:t>)</w:t>
      </w:r>
    </w:p>
    <w:p w14:paraId="2292E57B" w14:textId="77777777" w:rsidR="00E94292" w:rsidRPr="00F71E4C" w:rsidRDefault="004F5F43" w:rsidP="00E94292">
      <w:pPr>
        <w:pStyle w:val="Heading4"/>
      </w:pPr>
      <w:r w:rsidRPr="00F71E4C">
        <w:t xml:space="preserve">Malaspina CNTR: </w:t>
      </w:r>
      <w:r w:rsidR="00E94292" w:rsidRPr="00F71E4C">
        <w:t>Subareas 16-2 and 16-17</w:t>
      </w:r>
      <w:r w:rsidR="00620C31" w:rsidRPr="00F71E4C">
        <w:t xml:space="preserve"> (Established 2012: </w:t>
      </w:r>
      <w:r w:rsidR="00541010" w:rsidRPr="00F71E4C">
        <w:t>Commercial No-Take Reserve</w:t>
      </w:r>
      <w:r w:rsidR="00E94292" w:rsidRPr="00F71E4C">
        <w:t>).</w:t>
      </w:r>
    </w:p>
    <w:p w14:paraId="787A52A2" w14:textId="77777777" w:rsidR="000367B5" w:rsidRPr="00F71E4C" w:rsidRDefault="000367B5" w:rsidP="008853FF">
      <w:pPr>
        <w:pStyle w:val="Heading3"/>
      </w:pPr>
      <w:bookmarkStart w:id="153" w:name="_Toc429207348"/>
      <w:r w:rsidRPr="00F71E4C">
        <w:t>Area 18</w:t>
      </w:r>
      <w:bookmarkEnd w:id="153"/>
    </w:p>
    <w:p w14:paraId="07C109FA" w14:textId="77777777" w:rsidR="00351E19" w:rsidRPr="00F71E4C" w:rsidRDefault="004F5F43" w:rsidP="00E0106C">
      <w:pPr>
        <w:pStyle w:val="Heading4"/>
      </w:pPr>
      <w:bookmarkStart w:id="154" w:name="A18_78"/>
      <w:r w:rsidRPr="00F71E4C">
        <w:t xml:space="preserve">Satellite Channel CNTR: </w:t>
      </w:r>
      <w:r w:rsidR="00351E19" w:rsidRPr="00F71E4C">
        <w:t xml:space="preserve">Subarea 18-6. (Established 2011: </w:t>
      </w:r>
      <w:r w:rsidR="00541010" w:rsidRPr="00F71E4C">
        <w:t>Commercial No-Take Reserve</w:t>
      </w:r>
      <w:r w:rsidR="00351E19" w:rsidRPr="00F71E4C">
        <w:t>)</w:t>
      </w:r>
    </w:p>
    <w:p w14:paraId="13A87418" w14:textId="77777777" w:rsidR="000367B5" w:rsidRPr="00F71E4C" w:rsidRDefault="000367B5" w:rsidP="00E0106C">
      <w:pPr>
        <w:pStyle w:val="Heading4"/>
      </w:pPr>
      <w:r w:rsidRPr="00F71E4C">
        <w:t>Subareas 18-7 (</w:t>
      </w:r>
      <w:proofErr w:type="spellStart"/>
      <w:r w:rsidRPr="00F71E4C">
        <w:t>Sansum</w:t>
      </w:r>
      <w:proofErr w:type="spellEnd"/>
      <w:r w:rsidRPr="00F71E4C">
        <w:t xml:space="preserve"> Narrows, Burgoyne Bay and Maple Bay) and 18-8 (Cowichan Bay)</w:t>
      </w:r>
      <w:r w:rsidR="00CA297C" w:rsidRPr="00F71E4C">
        <w:t>.  (</w:t>
      </w:r>
      <w:r w:rsidRPr="00F71E4C">
        <w:t>Conservation Closure)</w:t>
      </w:r>
      <w:bookmarkEnd w:id="154"/>
      <w:r w:rsidR="00351E19" w:rsidRPr="00F71E4C">
        <w:t>.</w:t>
      </w:r>
    </w:p>
    <w:p w14:paraId="407A8001" w14:textId="77777777" w:rsidR="000367B5" w:rsidRPr="00F71E4C" w:rsidRDefault="000367B5" w:rsidP="00147088">
      <w:pPr>
        <w:pStyle w:val="Heading3"/>
        <w:keepLines/>
      </w:pPr>
      <w:bookmarkStart w:id="155" w:name="_Toc429207349"/>
      <w:r w:rsidRPr="00F71E4C">
        <w:t>Area 19</w:t>
      </w:r>
      <w:bookmarkEnd w:id="155"/>
    </w:p>
    <w:p w14:paraId="368D848D" w14:textId="77777777" w:rsidR="000367B5" w:rsidRPr="00F71E4C" w:rsidRDefault="000367B5" w:rsidP="00147088">
      <w:pPr>
        <w:pStyle w:val="Heading4"/>
        <w:keepNext/>
        <w:keepLines/>
      </w:pPr>
      <w:bookmarkStart w:id="156" w:name="Ogden"/>
      <w:r w:rsidRPr="00F71E4C">
        <w:t xml:space="preserve">Ogden Point: Those waters of Subarea 19-3 inside a line from the navigation light at the western end of the Ogden Point Causeway thence to </w:t>
      </w:r>
      <w:proofErr w:type="spellStart"/>
      <w:r w:rsidRPr="00F71E4C">
        <w:t>Brotchie</w:t>
      </w:r>
      <w:proofErr w:type="spellEnd"/>
      <w:r w:rsidRPr="00F71E4C">
        <w:t xml:space="preserve"> Ledge Light, thence to Holland Point on Vancouver Island</w:t>
      </w:r>
      <w:r w:rsidR="00CA297C" w:rsidRPr="00F71E4C">
        <w:t>.  (</w:t>
      </w:r>
      <w:r w:rsidRPr="00F71E4C">
        <w:t>Marine Reserve)</w:t>
      </w:r>
      <w:bookmarkEnd w:id="156"/>
    </w:p>
    <w:p w14:paraId="6E22D50F" w14:textId="77777777" w:rsidR="000367B5" w:rsidRPr="00F71E4C" w:rsidRDefault="000367B5" w:rsidP="00E0106C">
      <w:pPr>
        <w:pStyle w:val="Heading4"/>
      </w:pPr>
      <w:bookmarkStart w:id="157" w:name="TenMile"/>
      <w:r w:rsidRPr="00F71E4C">
        <w:t>10 Mile Point: Those waters of Subareas 19-4 and 19-5 within 0</w:t>
      </w:r>
      <w:r w:rsidR="00DA205F" w:rsidRPr="00F71E4C">
        <w:t>.4 nautical miles of Cadboro Point</w:t>
      </w:r>
      <w:r w:rsidRPr="00F71E4C">
        <w:t xml:space="preserve"> navigation light</w:t>
      </w:r>
      <w:r w:rsidR="00CA297C" w:rsidRPr="00F71E4C">
        <w:t>.  (</w:t>
      </w:r>
      <w:r w:rsidRPr="00F71E4C">
        <w:t>Marine Reserve)</w:t>
      </w:r>
      <w:bookmarkEnd w:id="157"/>
    </w:p>
    <w:p w14:paraId="4954975C" w14:textId="77777777" w:rsidR="000367B5" w:rsidRPr="00F71E4C" w:rsidRDefault="000367B5" w:rsidP="00E0106C">
      <w:pPr>
        <w:pStyle w:val="Heading4"/>
      </w:pPr>
      <w:r w:rsidRPr="00F71E4C">
        <w:lastRenderedPageBreak/>
        <w:t>Race Rocks: Those waters of Subareas 19-3 and 20-5 within 0.5 nautical miles of Great Race Rocks</w:t>
      </w:r>
      <w:r w:rsidR="00CA297C" w:rsidRPr="00F71E4C">
        <w:t>.  (</w:t>
      </w:r>
      <w:r w:rsidRPr="00F71E4C">
        <w:t>Marine Reserve)</w:t>
      </w:r>
    </w:p>
    <w:p w14:paraId="4D3F8873" w14:textId="77777777" w:rsidR="000367B5" w:rsidRPr="00F71E4C" w:rsidRDefault="000367B5" w:rsidP="00DA205F">
      <w:pPr>
        <w:pStyle w:val="Heading3"/>
      </w:pPr>
      <w:bookmarkStart w:id="158" w:name="_Toc429207350"/>
      <w:r w:rsidRPr="00F71E4C">
        <w:t>Area 20</w:t>
      </w:r>
      <w:bookmarkEnd w:id="158"/>
    </w:p>
    <w:p w14:paraId="1962906D" w14:textId="77777777" w:rsidR="000367B5" w:rsidRPr="00F71E4C" w:rsidRDefault="000367B5" w:rsidP="00E0106C">
      <w:pPr>
        <w:pStyle w:val="Heading4"/>
      </w:pPr>
      <w:bookmarkStart w:id="159" w:name="RaceRocks"/>
      <w:r w:rsidRPr="00F71E4C">
        <w:t>Race Rocks: Those waters of Subareas 19-3 and 20-5 within 0.5 nautical miles of Great Race Rocks</w:t>
      </w:r>
      <w:r w:rsidR="00CA297C" w:rsidRPr="00F71E4C">
        <w:t>.  (</w:t>
      </w:r>
      <w:r w:rsidRPr="00F71E4C">
        <w:t>Marine Reserve)</w:t>
      </w:r>
      <w:bookmarkEnd w:id="159"/>
    </w:p>
    <w:p w14:paraId="754B679B" w14:textId="77777777" w:rsidR="000367B5" w:rsidRPr="00F71E4C" w:rsidRDefault="000367B5" w:rsidP="00E0106C">
      <w:pPr>
        <w:pStyle w:val="Heading4"/>
      </w:pPr>
      <w:bookmarkStart w:id="160" w:name="Botanical"/>
      <w:r w:rsidRPr="00F71E4C">
        <w:t>Botanical Beach Provincial Park: That portion of Subarea 20-3 between the lowest low water on record and the highest high water on record from San Juan Point thence following the Vancouver Island shoreline easterly to the mouth of Tom Baird Creek</w:t>
      </w:r>
      <w:r w:rsidR="00CA297C" w:rsidRPr="00F71E4C">
        <w:t>.  (</w:t>
      </w:r>
      <w:r w:rsidRPr="00F71E4C">
        <w:t>Marine Reserve)</w:t>
      </w:r>
      <w:bookmarkEnd w:id="160"/>
    </w:p>
    <w:p w14:paraId="68D2A67C" w14:textId="77777777" w:rsidR="000367B5" w:rsidRPr="00F71E4C" w:rsidRDefault="000367B5" w:rsidP="00E0106C">
      <w:pPr>
        <w:pStyle w:val="Heading4"/>
      </w:pPr>
      <w:bookmarkStart w:id="161" w:name="A20_1"/>
      <w:r w:rsidRPr="00F71E4C">
        <w:t>Pacific Rim National Park, Juan de Fuca: That portion of Subarea 20-1 between the lowest low water on record and the highest high water on record from Bonilla Light thence following the shoreline of Vancouver Island easterly to Owen Point</w:t>
      </w:r>
      <w:r w:rsidR="00CA297C" w:rsidRPr="00F71E4C">
        <w:t>.  (</w:t>
      </w:r>
      <w:r w:rsidRPr="00F71E4C">
        <w:t>Park)</w:t>
      </w:r>
      <w:bookmarkEnd w:id="161"/>
    </w:p>
    <w:p w14:paraId="7449C294" w14:textId="77777777" w:rsidR="000367B5" w:rsidRPr="00F71E4C" w:rsidRDefault="000367B5" w:rsidP="00E6350E">
      <w:pPr>
        <w:pStyle w:val="Heading3"/>
      </w:pPr>
      <w:bookmarkStart w:id="162" w:name="_Toc429207351"/>
      <w:r w:rsidRPr="00F71E4C">
        <w:t>Area 23</w:t>
      </w:r>
      <w:bookmarkEnd w:id="162"/>
    </w:p>
    <w:p w14:paraId="4CBA984F" w14:textId="77777777" w:rsidR="000367B5" w:rsidRPr="00F71E4C" w:rsidRDefault="000367B5" w:rsidP="00E0106C">
      <w:pPr>
        <w:pStyle w:val="Heading4"/>
      </w:pPr>
      <w:bookmarkStart w:id="163" w:name="Broken"/>
      <w:r w:rsidRPr="00F71E4C">
        <w:t>Pacific Rim National Park, Broken Group Islands: Those waters of the Broken Group Islands in Barkley Sound within park boundaries as shown, since 1989, on Canadian Hydrographic Service Chart 3671</w:t>
      </w:r>
      <w:r w:rsidR="00CA297C" w:rsidRPr="00F71E4C">
        <w:t>.  (</w:t>
      </w:r>
      <w:r w:rsidRPr="00F71E4C">
        <w:t>Park)</w:t>
      </w:r>
      <w:bookmarkEnd w:id="163"/>
    </w:p>
    <w:p w14:paraId="2D71E1F2" w14:textId="77777777" w:rsidR="000367B5" w:rsidRPr="00F71E4C" w:rsidRDefault="000367B5" w:rsidP="00E0106C">
      <w:pPr>
        <w:pStyle w:val="Heading4"/>
      </w:pPr>
      <w:bookmarkStart w:id="164" w:name="BamfieldStudy"/>
      <w:proofErr w:type="spellStart"/>
      <w:r w:rsidRPr="00F71E4C">
        <w:t>Bamfield</w:t>
      </w:r>
      <w:proofErr w:type="spellEnd"/>
      <w:r w:rsidRPr="00F71E4C">
        <w:t xml:space="preserve"> Marine Station Research Area Closure: Those waters of Pacific Fishery Management Subareas 23-4,</w:t>
      </w:r>
      <w:r w:rsidR="005301D6" w:rsidRPr="00F71E4C">
        <w:t xml:space="preserve"> 23-5,</w:t>
      </w:r>
      <w:r w:rsidRPr="00F71E4C">
        <w:t xml:space="preserve"> 23-6 and 23-7 bounded by a line commencing at the light at </w:t>
      </w:r>
      <w:proofErr w:type="spellStart"/>
      <w:r w:rsidRPr="00F71E4C">
        <w:t>Whittlestone</w:t>
      </w:r>
      <w:proofErr w:type="spellEnd"/>
      <w:r w:rsidRPr="00F71E4C">
        <w:t xml:space="preserve"> Point and running directly to the southern tip of Haines Island; from the northwestern tip of Haines Island to the southern tip of </w:t>
      </w:r>
      <w:proofErr w:type="spellStart"/>
      <w:r w:rsidRPr="00F71E4C">
        <w:t>Seppings</w:t>
      </w:r>
      <w:proofErr w:type="spellEnd"/>
      <w:r w:rsidRPr="00F71E4C">
        <w:t xml:space="preserve"> Island; from the northwestern tip of </w:t>
      </w:r>
      <w:proofErr w:type="spellStart"/>
      <w:r w:rsidRPr="00F71E4C">
        <w:t>Seppings</w:t>
      </w:r>
      <w:proofErr w:type="spellEnd"/>
      <w:r w:rsidRPr="00F71E4C">
        <w:t xml:space="preserve"> Island to Kirby Point on Diana Island; from Kirby Point directly to the northwest tip of Fry Island; from the northwestern tip of Fry Island to the nearest adjacent point on </w:t>
      </w:r>
      <w:proofErr w:type="spellStart"/>
      <w:r w:rsidRPr="00F71E4C">
        <w:t>Tzartus</w:t>
      </w:r>
      <w:proofErr w:type="spellEnd"/>
      <w:r w:rsidRPr="00F71E4C">
        <w:t xml:space="preserve"> Island; from Foucault Bluff on </w:t>
      </w:r>
      <w:proofErr w:type="spellStart"/>
      <w:r w:rsidRPr="00F71E4C">
        <w:t>Tzartus</w:t>
      </w:r>
      <w:proofErr w:type="spellEnd"/>
      <w:r w:rsidRPr="00F71E4C">
        <w:t xml:space="preserve"> Island to the northwest tip of </w:t>
      </w:r>
      <w:proofErr w:type="spellStart"/>
      <w:r w:rsidRPr="00F71E4C">
        <w:t>Nanat</w:t>
      </w:r>
      <w:proofErr w:type="spellEnd"/>
      <w:r w:rsidRPr="00F71E4C">
        <w:t xml:space="preserve"> Island; from the eastern tip of </w:t>
      </w:r>
      <w:proofErr w:type="spellStart"/>
      <w:r w:rsidRPr="00F71E4C">
        <w:t>Nanat</w:t>
      </w:r>
      <w:proofErr w:type="spellEnd"/>
      <w:r w:rsidRPr="00F71E4C">
        <w:t xml:space="preserve"> Island to the nearest adjacent point on Vancouver Island and thence along the coastline of Vancouver Island to the point of commencement</w:t>
      </w:r>
      <w:r w:rsidR="00CA297C" w:rsidRPr="00F71E4C">
        <w:t>.  (</w:t>
      </w:r>
      <w:r w:rsidRPr="00F71E4C">
        <w:t>Research Area)</w:t>
      </w:r>
      <w:bookmarkEnd w:id="164"/>
    </w:p>
    <w:p w14:paraId="04F5D330" w14:textId="77777777" w:rsidR="000367B5" w:rsidRPr="00F71E4C" w:rsidRDefault="000367B5" w:rsidP="00A311A7">
      <w:pPr>
        <w:pStyle w:val="Heading3"/>
        <w:keepLines/>
      </w:pPr>
      <w:bookmarkStart w:id="165" w:name="_Toc429207352"/>
      <w:r w:rsidRPr="00F71E4C">
        <w:t>Area 24</w:t>
      </w:r>
      <w:bookmarkEnd w:id="165"/>
    </w:p>
    <w:p w14:paraId="65B39CD8" w14:textId="77777777" w:rsidR="000367B5" w:rsidRPr="00F71E4C" w:rsidRDefault="000367B5" w:rsidP="003E1D8B">
      <w:pPr>
        <w:pStyle w:val="Heading4"/>
        <w:keepLines/>
      </w:pPr>
      <w:bookmarkStart w:id="166" w:name="Grice"/>
      <w:r w:rsidRPr="00F71E4C">
        <w:t xml:space="preserve">Pacific Rim National Park, Grice Bay and </w:t>
      </w:r>
      <w:proofErr w:type="spellStart"/>
      <w:r w:rsidRPr="00F71E4C">
        <w:t>McBey</w:t>
      </w:r>
      <w:proofErr w:type="spellEnd"/>
      <w:r w:rsidRPr="00F71E4C">
        <w:t xml:space="preserve"> Islets: The waters of Tofino Inlet within Pacific Rim National Park including </w:t>
      </w:r>
      <w:proofErr w:type="spellStart"/>
      <w:r w:rsidRPr="00F71E4C">
        <w:t>McBey</w:t>
      </w:r>
      <w:proofErr w:type="spellEnd"/>
      <w:r w:rsidRPr="00F71E4C">
        <w:t xml:space="preserve"> Islets and Dinner Island in </w:t>
      </w:r>
      <w:proofErr w:type="spellStart"/>
      <w:r w:rsidRPr="00F71E4C">
        <w:t>Tsapee</w:t>
      </w:r>
      <w:proofErr w:type="spellEnd"/>
      <w:r w:rsidRPr="00F71E4C">
        <w:t xml:space="preserve"> Narrows, Browning Passage in Subarea 24-9 and Grice Bay west and south of Indian Island in Subarea 24-11</w:t>
      </w:r>
      <w:r w:rsidR="00CA297C" w:rsidRPr="00F71E4C">
        <w:t>.  (</w:t>
      </w:r>
      <w:r w:rsidRPr="00F71E4C">
        <w:t>Park)</w:t>
      </w:r>
      <w:bookmarkEnd w:id="166"/>
    </w:p>
    <w:p w14:paraId="36950474" w14:textId="77777777" w:rsidR="005E2E55" w:rsidRPr="00F71E4C" w:rsidRDefault="005E2E55" w:rsidP="005E2E55">
      <w:pPr>
        <w:pStyle w:val="Heading3"/>
        <w:keepLines/>
      </w:pPr>
      <w:r w:rsidRPr="00F71E4C">
        <w:t>Area 25</w:t>
      </w:r>
    </w:p>
    <w:p w14:paraId="0DD8A4E5" w14:textId="77777777" w:rsidR="005E2E55" w:rsidRPr="00F71E4C" w:rsidRDefault="005E2E55" w:rsidP="005E2E55">
      <w:pPr>
        <w:pStyle w:val="Heading4"/>
        <w:keepLines/>
      </w:pPr>
      <w:r w:rsidRPr="00F71E4C">
        <w:t>Subareas 25-8 and 25-9: Zeballos Experimental Fishing Area (Established 1997: Research).</w:t>
      </w:r>
    </w:p>
    <w:p w14:paraId="4B3A94FF" w14:textId="77777777" w:rsidR="000367B5" w:rsidRPr="00F71E4C" w:rsidRDefault="000367B5" w:rsidP="00841786">
      <w:pPr>
        <w:pStyle w:val="Heading3"/>
        <w:keepLines/>
      </w:pPr>
      <w:bookmarkStart w:id="167" w:name="_Toc429207353"/>
      <w:r w:rsidRPr="00F71E4C">
        <w:t>Area 26</w:t>
      </w:r>
      <w:bookmarkEnd w:id="167"/>
    </w:p>
    <w:p w14:paraId="2172D022" w14:textId="77777777" w:rsidR="000367B5" w:rsidRPr="00F71E4C" w:rsidRDefault="000367B5" w:rsidP="003E1D8B">
      <w:pPr>
        <w:pStyle w:val="Heading4"/>
        <w:keepLines/>
      </w:pPr>
      <w:bookmarkStart w:id="168" w:name="Checleset"/>
      <w:proofErr w:type="spellStart"/>
      <w:r w:rsidRPr="00F71E4C">
        <w:lastRenderedPageBreak/>
        <w:t>Checleset</w:t>
      </w:r>
      <w:proofErr w:type="spellEnd"/>
      <w:r w:rsidRPr="00F71E4C">
        <w:t xml:space="preserve"> Bay Fishery Closure Area: Those waters of </w:t>
      </w:r>
      <w:proofErr w:type="spellStart"/>
      <w:r w:rsidRPr="00F71E4C">
        <w:t>Checleset</w:t>
      </w:r>
      <w:proofErr w:type="spellEnd"/>
      <w:r w:rsidRPr="00F71E4C">
        <w:t xml:space="preserve"> Bay within Subareas 26-7, 26-8 and 26-10 and 126-1 on the northwest coast of Vancouver Island enclosed by the coordinates 49</w:t>
      </w:r>
      <w:r w:rsidR="00B66305" w:rsidRPr="00F71E4C">
        <w:t xml:space="preserve"> degrees</w:t>
      </w:r>
      <w:r w:rsidRPr="00F71E4C">
        <w:t xml:space="preserve"> 59</w:t>
      </w:r>
      <w:r w:rsidR="00B66305" w:rsidRPr="00F71E4C">
        <w:t xml:space="preserve"> minutes</w:t>
      </w:r>
      <w:r w:rsidRPr="00F71E4C">
        <w:t xml:space="preserve"> to 50</w:t>
      </w:r>
      <w:r w:rsidR="00B66305" w:rsidRPr="00F71E4C">
        <w:t xml:space="preserve"> degrees</w:t>
      </w:r>
      <w:r w:rsidRPr="00F71E4C">
        <w:t xml:space="preserve"> 6.3</w:t>
      </w:r>
      <w:r w:rsidR="00B66305" w:rsidRPr="00F71E4C">
        <w:t xml:space="preserve"> minutes</w:t>
      </w:r>
      <w:r w:rsidRPr="00F71E4C">
        <w:t xml:space="preserve"> </w:t>
      </w:r>
      <w:r w:rsidR="00B66305" w:rsidRPr="00F71E4C">
        <w:t>north</w:t>
      </w:r>
      <w:r w:rsidRPr="00F71E4C">
        <w:t xml:space="preserve"> and 127</w:t>
      </w:r>
      <w:r w:rsidR="00B66305" w:rsidRPr="00F71E4C">
        <w:t xml:space="preserve"> degrees</w:t>
      </w:r>
      <w:r w:rsidRPr="00F71E4C">
        <w:t xml:space="preserve"> 26</w:t>
      </w:r>
      <w:r w:rsidR="00B66305" w:rsidRPr="00F71E4C">
        <w:t xml:space="preserve"> minutes</w:t>
      </w:r>
      <w:r w:rsidRPr="00F71E4C">
        <w:t xml:space="preserve"> to 127</w:t>
      </w:r>
      <w:r w:rsidR="00B66305" w:rsidRPr="00F71E4C">
        <w:t xml:space="preserve"> degrees</w:t>
      </w:r>
      <w:r w:rsidRPr="00F71E4C">
        <w:t xml:space="preserve"> 39</w:t>
      </w:r>
      <w:r w:rsidR="00B66305" w:rsidRPr="00F71E4C">
        <w:t xml:space="preserve"> minutes</w:t>
      </w:r>
      <w:r w:rsidRPr="00F71E4C">
        <w:t xml:space="preserve"> </w:t>
      </w:r>
      <w:r w:rsidR="00B66305" w:rsidRPr="00F71E4C">
        <w:t>west</w:t>
      </w:r>
      <w:r w:rsidR="00CA297C" w:rsidRPr="00F71E4C">
        <w:t>.  (</w:t>
      </w:r>
      <w:r w:rsidRPr="00F71E4C">
        <w:t>Ecological Reserve)</w:t>
      </w:r>
      <w:bookmarkEnd w:id="168"/>
    </w:p>
    <w:p w14:paraId="4CA7657E" w14:textId="77777777" w:rsidR="000367B5" w:rsidRPr="00F71E4C" w:rsidRDefault="000367B5" w:rsidP="00E0106C">
      <w:pPr>
        <w:pStyle w:val="Heading4"/>
      </w:pPr>
      <w:bookmarkStart w:id="169" w:name="Kyuquot"/>
      <w:r w:rsidRPr="00F71E4C">
        <w:t>Kyuquot Bay: A portion of 26-6 inside or northerly of a line from White Cliff Head to Racoon Point</w:t>
      </w:r>
      <w:r w:rsidR="0010519A" w:rsidRPr="00F71E4C">
        <w:t>.</w:t>
      </w:r>
      <w:r w:rsidR="00CA297C" w:rsidRPr="00F71E4C">
        <w:t xml:space="preserve">  (</w:t>
      </w:r>
      <w:r w:rsidRPr="00F71E4C">
        <w:t>Research Closure)</w:t>
      </w:r>
    </w:p>
    <w:p w14:paraId="4CED7501" w14:textId="77777777" w:rsidR="000367B5" w:rsidRPr="00F71E4C" w:rsidRDefault="000367B5" w:rsidP="00E0106C">
      <w:pPr>
        <w:pStyle w:val="Heading4"/>
      </w:pPr>
      <w:r w:rsidRPr="00F71E4C">
        <w:t>Entrance to Crowther Channel: A portion of 26-6 on the west side of Union Island commencing at position 50</w:t>
      </w:r>
      <w:r w:rsidR="00A276FB" w:rsidRPr="00F71E4C">
        <w:t xml:space="preserve"> degrees</w:t>
      </w:r>
      <w:r w:rsidRPr="00F71E4C">
        <w:t xml:space="preserve"> 0.4</w:t>
      </w:r>
      <w:r w:rsidR="00A276FB" w:rsidRPr="00F71E4C">
        <w:t xml:space="preserve"> minutes</w:t>
      </w:r>
      <w:r w:rsidRPr="00F71E4C">
        <w:t xml:space="preserve"> </w:t>
      </w:r>
      <w:r w:rsidR="00A276FB" w:rsidRPr="00F71E4C">
        <w:t>north</w:t>
      </w:r>
      <w:r w:rsidRPr="00F71E4C">
        <w:t>, 127</w:t>
      </w:r>
      <w:r w:rsidR="00A276FB" w:rsidRPr="00F71E4C">
        <w:t xml:space="preserve"> degrees</w:t>
      </w:r>
      <w:r w:rsidRPr="00F71E4C">
        <w:t xml:space="preserve"> 19.3</w:t>
      </w:r>
      <w:r w:rsidR="00A276FB" w:rsidRPr="00F71E4C">
        <w:t xml:space="preserve"> minutes</w:t>
      </w:r>
      <w:r w:rsidRPr="00F71E4C">
        <w:t xml:space="preserve"> </w:t>
      </w:r>
      <w:r w:rsidR="00A276FB" w:rsidRPr="00F71E4C">
        <w:t>west</w:t>
      </w:r>
      <w:r w:rsidR="00CA297C" w:rsidRPr="00F71E4C">
        <w:t>.  (</w:t>
      </w:r>
      <w:r w:rsidRPr="00F71E4C">
        <w:t>Research Closure)</w:t>
      </w:r>
      <w:bookmarkEnd w:id="169"/>
    </w:p>
    <w:p w14:paraId="4CAE8639" w14:textId="77777777" w:rsidR="000367B5" w:rsidRPr="00F71E4C" w:rsidRDefault="000367B5" w:rsidP="00E6350E">
      <w:pPr>
        <w:pStyle w:val="Heading3"/>
      </w:pPr>
      <w:bookmarkStart w:id="170" w:name="_Toc429207354"/>
      <w:r w:rsidRPr="00F71E4C">
        <w:t>Area 28</w:t>
      </w:r>
      <w:bookmarkEnd w:id="170"/>
    </w:p>
    <w:p w14:paraId="5E6010E5" w14:textId="77777777" w:rsidR="000367B5" w:rsidRPr="00F71E4C" w:rsidRDefault="000367B5" w:rsidP="00E0106C">
      <w:pPr>
        <w:pStyle w:val="Heading4"/>
      </w:pPr>
      <w:bookmarkStart w:id="171" w:name="Horseshoe"/>
      <w:r w:rsidRPr="00F71E4C">
        <w:t xml:space="preserve">Horseshoe Bay: That portion of Subarea 28-2 bounded by a line commencing from </w:t>
      </w:r>
      <w:proofErr w:type="spellStart"/>
      <w:r w:rsidRPr="00F71E4C">
        <w:t>Whytecliff</w:t>
      </w:r>
      <w:proofErr w:type="spellEnd"/>
      <w:r w:rsidRPr="00F71E4C">
        <w:t xml:space="preserve"> Point, thence in a straight line to the most southerly point of Bowyer Island, thence in a straight line 112</w:t>
      </w:r>
      <w:r w:rsidR="00A86114" w:rsidRPr="00F71E4C">
        <w:t xml:space="preserve"> degrees</w:t>
      </w:r>
      <w:r w:rsidRPr="00F71E4C">
        <w:t xml:space="preserve"> true to the mainland</w:t>
      </w:r>
      <w:r w:rsidR="00CA297C" w:rsidRPr="00F71E4C">
        <w:t>.  (</w:t>
      </w:r>
      <w:r w:rsidRPr="00F71E4C">
        <w:t>Navigational Closure)</w:t>
      </w:r>
      <w:bookmarkEnd w:id="171"/>
    </w:p>
    <w:p w14:paraId="26751961" w14:textId="77777777" w:rsidR="000367B5" w:rsidRPr="00F71E4C" w:rsidRDefault="000367B5" w:rsidP="00E0106C">
      <w:pPr>
        <w:pStyle w:val="Heading4"/>
      </w:pPr>
      <w:bookmarkStart w:id="172" w:name="Whytecliff"/>
      <w:proofErr w:type="spellStart"/>
      <w:r w:rsidRPr="00F71E4C">
        <w:t>Whytecliff</w:t>
      </w:r>
      <w:proofErr w:type="spellEnd"/>
      <w:r w:rsidRPr="00F71E4C">
        <w:t xml:space="preserve"> Park: That portion of Subarea 28-2 bounded by a line commencing from the most southerly point of </w:t>
      </w:r>
      <w:proofErr w:type="spellStart"/>
      <w:r w:rsidRPr="00F71E4C">
        <w:t>Whytecliff</w:t>
      </w:r>
      <w:proofErr w:type="spellEnd"/>
      <w:r w:rsidRPr="00F71E4C">
        <w:t xml:space="preserve"> Park; thence in a straight line to a point located 100 </w:t>
      </w:r>
      <w:proofErr w:type="spellStart"/>
      <w:r w:rsidR="00A86114" w:rsidRPr="00F71E4C">
        <w:t>metres</w:t>
      </w:r>
      <w:proofErr w:type="spellEnd"/>
      <w:r w:rsidRPr="00F71E4C">
        <w:t xml:space="preserve"> east of the most southeasterly point of Whyte It.; thence following the southern shoreline of Whyte It. at a distance of 100 </w:t>
      </w:r>
      <w:proofErr w:type="spellStart"/>
      <w:r w:rsidR="00A86114" w:rsidRPr="00F71E4C">
        <w:t>metres</w:t>
      </w:r>
      <w:proofErr w:type="spellEnd"/>
      <w:r w:rsidRPr="00F71E4C">
        <w:t xml:space="preserve"> to a point lying 100 </w:t>
      </w:r>
      <w:proofErr w:type="spellStart"/>
      <w:r w:rsidR="00A86114" w:rsidRPr="00F71E4C">
        <w:t>metres</w:t>
      </w:r>
      <w:proofErr w:type="spellEnd"/>
      <w:r w:rsidRPr="00F71E4C">
        <w:t xml:space="preserve"> from the most southwesterly point of Whyte It.; thence in a straight line to a point lying 100 </w:t>
      </w:r>
      <w:proofErr w:type="spellStart"/>
      <w:r w:rsidR="00A86114" w:rsidRPr="00F71E4C">
        <w:t>metres</w:t>
      </w:r>
      <w:proofErr w:type="spellEnd"/>
      <w:r w:rsidRPr="00F71E4C">
        <w:t xml:space="preserve"> west of White Cliff Point; thence following the shoreline at a distance of 100 </w:t>
      </w:r>
      <w:proofErr w:type="spellStart"/>
      <w:r w:rsidR="00A86114" w:rsidRPr="00F71E4C">
        <w:t>metres</w:t>
      </w:r>
      <w:proofErr w:type="spellEnd"/>
      <w:r w:rsidRPr="00F71E4C">
        <w:t xml:space="preserve"> in a northerly direction to a point 100 </w:t>
      </w:r>
      <w:proofErr w:type="spellStart"/>
      <w:r w:rsidR="001A0E37" w:rsidRPr="00F71E4C">
        <w:t>metres</w:t>
      </w:r>
      <w:proofErr w:type="spellEnd"/>
      <w:r w:rsidRPr="00F71E4C">
        <w:t xml:space="preserve"> north of Lookout Point; thence following the shoreline at a distance of </w:t>
      </w:r>
      <w:r w:rsidR="001A0E37" w:rsidRPr="00F71E4C">
        <w:t>100</w:t>
      </w:r>
      <w:r w:rsidRPr="00F71E4C">
        <w:t xml:space="preserve"> </w:t>
      </w:r>
      <w:proofErr w:type="spellStart"/>
      <w:r w:rsidR="001A0E37" w:rsidRPr="00F71E4C">
        <w:t>metres</w:t>
      </w:r>
      <w:proofErr w:type="spellEnd"/>
      <w:r w:rsidRPr="00F71E4C">
        <w:t xml:space="preserve"> in an easterly direction to a point 100 </w:t>
      </w:r>
      <w:proofErr w:type="spellStart"/>
      <w:r w:rsidR="001A0E37" w:rsidRPr="00F71E4C">
        <w:t>metres</w:t>
      </w:r>
      <w:proofErr w:type="spellEnd"/>
      <w:r w:rsidRPr="00F71E4C">
        <w:t xml:space="preserve"> perpendicular to the most northerly point of </w:t>
      </w:r>
      <w:proofErr w:type="spellStart"/>
      <w:r w:rsidRPr="00F71E4C">
        <w:t>Whytecliff</w:t>
      </w:r>
      <w:proofErr w:type="spellEnd"/>
      <w:r w:rsidRPr="00F71E4C">
        <w:t xml:space="preserve"> Park; thence to the most northerly point of </w:t>
      </w:r>
      <w:proofErr w:type="spellStart"/>
      <w:r w:rsidRPr="00F71E4C">
        <w:t>Whytecliff</w:t>
      </w:r>
      <w:proofErr w:type="spellEnd"/>
      <w:r w:rsidRPr="00F71E4C">
        <w:t xml:space="preserve"> Park on the mainland</w:t>
      </w:r>
      <w:r w:rsidR="00CA297C" w:rsidRPr="00F71E4C">
        <w:t>.  (</w:t>
      </w:r>
      <w:r w:rsidRPr="00F71E4C">
        <w:t xml:space="preserve">Marine Reserve) </w:t>
      </w:r>
      <w:bookmarkEnd w:id="172"/>
    </w:p>
    <w:p w14:paraId="755B5F33" w14:textId="77777777" w:rsidR="007A28DE" w:rsidRPr="00F71E4C" w:rsidRDefault="000367B5" w:rsidP="007A28DE">
      <w:pPr>
        <w:pStyle w:val="Heading4"/>
      </w:pPr>
      <w:bookmarkStart w:id="173" w:name="_Toc338764881"/>
      <w:bookmarkStart w:id="174" w:name="Porteau"/>
      <w:proofErr w:type="spellStart"/>
      <w:r w:rsidRPr="00F71E4C">
        <w:t>Porteau</w:t>
      </w:r>
      <w:proofErr w:type="spellEnd"/>
      <w:r w:rsidRPr="00F71E4C">
        <w:t xml:space="preserve"> Cove: That portion of Subarea 28-4, east of a line drawn from a white fishing boundary sign located on the south shore of </w:t>
      </w:r>
      <w:proofErr w:type="spellStart"/>
      <w:r w:rsidRPr="00F71E4C">
        <w:t>Porteau</w:t>
      </w:r>
      <w:proofErr w:type="spellEnd"/>
      <w:r w:rsidRPr="00F71E4C">
        <w:t xml:space="preserve"> Cove to a white fishing boundary sign located on the north shore of </w:t>
      </w:r>
      <w:proofErr w:type="spellStart"/>
      <w:r w:rsidRPr="00F71E4C">
        <w:t>Porteau</w:t>
      </w:r>
      <w:proofErr w:type="spellEnd"/>
      <w:r w:rsidRPr="00F71E4C">
        <w:t xml:space="preserve"> Cove</w:t>
      </w:r>
      <w:r w:rsidR="00CA297C" w:rsidRPr="00F71E4C">
        <w:t>.  (</w:t>
      </w:r>
      <w:r w:rsidRPr="00F71E4C">
        <w:t>Marine Reserve)</w:t>
      </w:r>
      <w:bookmarkEnd w:id="173"/>
      <w:bookmarkEnd w:id="174"/>
      <w:r w:rsidR="00F03213" w:rsidRPr="00F71E4C">
        <w:t xml:space="preserve"> </w:t>
      </w:r>
    </w:p>
    <w:p w14:paraId="4D6013E0" w14:textId="77777777" w:rsidR="004171DC" w:rsidRPr="00F71E4C" w:rsidRDefault="004171DC" w:rsidP="004171DC">
      <w:pPr>
        <w:pStyle w:val="Heading3"/>
      </w:pPr>
      <w:r w:rsidRPr="00F71E4C">
        <w:t>Portions of Subareas 101-1 and 142-2</w:t>
      </w:r>
    </w:p>
    <w:p w14:paraId="79E74506" w14:textId="77777777" w:rsidR="004171DC" w:rsidRPr="00F71E4C" w:rsidRDefault="004171DC" w:rsidP="004171DC">
      <w:pPr>
        <w:pStyle w:val="Heading4"/>
      </w:pPr>
      <w:r w:rsidRPr="00F71E4C">
        <w:t>Bowie Seamount: Area bounded by a series of rhumb lines drawn from a point 53° 03.076’ N, 135° 50.259’ W, to a point 53° 16.209’ N, 134° 59.554’ W, then to a point 53° 39.492’ N, 135° 17.049’ W, then to a point 53° 39.180’ N, 135° 53.465’ W, then to a point 53° 52.167’ N, 136° 30.231’ W, then to a point 53° 49.196’ N, 136° 47.331’ W, then to a point 53° 40.025’ N, 136° 57.035’ W, then to a point 53° 13.592’ N, 136° 10.000’ W, then back to the point of commencement as laid out in the Bowie Seamount Marine Protected Area Regulations. (Marine Protected Area)</w:t>
      </w:r>
    </w:p>
    <w:p w14:paraId="384FF06A" w14:textId="77777777" w:rsidR="000367B5" w:rsidRPr="00F71E4C" w:rsidRDefault="00CF4802" w:rsidP="00D720E4">
      <w:pPr>
        <w:pStyle w:val="Heading1"/>
        <w:widowControl w:val="0"/>
      </w:pPr>
      <w:bookmarkStart w:id="175" w:name="_Toc107404367"/>
      <w:bookmarkStart w:id="176" w:name="OLE_LINK2"/>
      <w:r w:rsidRPr="00F71E4C">
        <w:t>Worksafebc</w:t>
      </w:r>
      <w:bookmarkEnd w:id="175"/>
    </w:p>
    <w:p w14:paraId="6DC6E873" w14:textId="77777777" w:rsidR="009921F7" w:rsidRPr="00F71E4C" w:rsidRDefault="009921F7" w:rsidP="00D720E4">
      <w:pPr>
        <w:pStyle w:val="Indent1"/>
        <w:widowControl w:val="0"/>
      </w:pPr>
      <w:r w:rsidRPr="00F71E4C">
        <w:t xml:space="preserve">Jurisdiction over health and safety on commercial fishing vessels in Canada is the mandate of the </w:t>
      </w:r>
      <w:r w:rsidRPr="00F71E4C">
        <w:lastRenderedPageBreak/>
        <w:t xml:space="preserve">provinces.  In British Columbia, jurisdiction over health and safety issues on commercial fishing vessels </w:t>
      </w:r>
      <w:r w:rsidR="00454C0D" w:rsidRPr="00F71E4C">
        <w:t>falls</w:t>
      </w:r>
      <w:r w:rsidRPr="00F71E4C">
        <w:t xml:space="preserve"> to </w:t>
      </w:r>
      <w:proofErr w:type="spellStart"/>
      <w:r w:rsidR="00E83BD7" w:rsidRPr="00F71E4C">
        <w:t>WorkSafeBC</w:t>
      </w:r>
      <w:proofErr w:type="spellEnd"/>
      <w:r w:rsidRPr="00F71E4C">
        <w:t>.  Health and safety issues on fishing vessels include the health and safety of the crew and design, construction and use of fishing equipment on the vessel.</w:t>
      </w:r>
      <w:r w:rsidR="00C03EDB" w:rsidRPr="00F71E4C">
        <w:t xml:space="preserve"> </w:t>
      </w:r>
      <w:r w:rsidRPr="00F71E4C">
        <w:t xml:space="preserve"> Matters of transportation and shipping fall to the federal government and are administered by Transport Canada, Marine Safety (TCMS).  </w:t>
      </w:r>
      <w:proofErr w:type="spellStart"/>
      <w:r w:rsidRPr="00F71E4C">
        <w:t>WorkSafeBC</w:t>
      </w:r>
      <w:proofErr w:type="spellEnd"/>
      <w:r w:rsidRPr="00F71E4C">
        <w:t xml:space="preserve"> and TCMS have entered into a Memorandum of Understanding on fishing vessel safety that addresses, as much as possible, jurisdiction.  The document also contemplates that each party will work co-operatively to ensure that vessels and their crew remain healthy and safe.</w:t>
      </w:r>
    </w:p>
    <w:p w14:paraId="02D06ABC" w14:textId="77777777" w:rsidR="009921F7" w:rsidRPr="00F71E4C" w:rsidRDefault="00F03213" w:rsidP="00EE625C">
      <w:pPr>
        <w:pStyle w:val="Indent1"/>
      </w:pPr>
      <w:r w:rsidRPr="00F71E4C">
        <w:t>The Sea C</w:t>
      </w:r>
      <w:r w:rsidR="009921F7" w:rsidRPr="00F71E4C">
        <w:t xml:space="preserve">ucumber fishery, and other dive fisheries, is legislated by the requirements for occupational divers, found in Part 24 of the </w:t>
      </w:r>
      <w:r w:rsidR="009921F7" w:rsidRPr="00F71E4C">
        <w:rPr>
          <w:i/>
        </w:rPr>
        <w:t>Occupational Health and Safety Regulation</w:t>
      </w:r>
      <w:r w:rsidR="009921F7" w:rsidRPr="00F71E4C">
        <w:t xml:space="preserve"> (OHSR) and as commercial fishing ventures, also found in Part 24 of the OHSR.</w:t>
      </w:r>
      <w:r w:rsidR="00C03EDB" w:rsidRPr="00F71E4C">
        <w:t xml:space="preserve"> </w:t>
      </w:r>
      <w:r w:rsidR="009921F7" w:rsidRPr="00F71E4C">
        <w:t xml:space="preserve"> Many of the general sections of the Regulation also apply, for example: Part 8 - Personal Protective Equipment, addresses issues related to safety head gear, safety </w:t>
      </w:r>
      <w:r w:rsidR="00D71723" w:rsidRPr="00F71E4C">
        <w:t>footwear,</w:t>
      </w:r>
      <w:r w:rsidR="009921F7" w:rsidRPr="00F71E4C">
        <w:t xml:space="preserve"> and personal floatation devices.  Part 17 addresses issues on rigging and Part 5 addresses issues of exposure to chemical and biological substances.  The entire regulation can be acquired from the Provincial Crown Printers or by visiting the </w:t>
      </w:r>
      <w:proofErr w:type="spellStart"/>
      <w:r w:rsidR="009921F7" w:rsidRPr="00F71E4C">
        <w:t>WorkSafeBC</w:t>
      </w:r>
      <w:proofErr w:type="spellEnd"/>
      <w:r w:rsidR="009921F7" w:rsidRPr="00F71E4C">
        <w:t xml:space="preserve"> Internet Site at:</w:t>
      </w:r>
    </w:p>
    <w:p w14:paraId="109B5197" w14:textId="77777777" w:rsidR="00EE625C" w:rsidRPr="00F71E4C" w:rsidRDefault="00EA2639" w:rsidP="00EB551F">
      <w:pPr>
        <w:pStyle w:val="Indent1"/>
      </w:pPr>
      <w:hyperlink r:id="rId19" w:history="1">
        <w:r w:rsidR="00EE625C" w:rsidRPr="00F71E4C">
          <w:rPr>
            <w:rStyle w:val="Hyperlink"/>
          </w:rPr>
          <w:t>www.worksafebc.com</w:t>
        </w:r>
      </w:hyperlink>
    </w:p>
    <w:bookmarkEnd w:id="176"/>
    <w:p w14:paraId="3195D68A" w14:textId="4C99238F" w:rsidR="009B637D" w:rsidRPr="0031331F" w:rsidRDefault="009B637D" w:rsidP="009B637D">
      <w:pPr>
        <w:pStyle w:val="BodyText"/>
      </w:pPr>
      <w:r w:rsidRPr="00C17BFC">
        <w:t>For further information</w:t>
      </w:r>
      <w:r w:rsidR="007E2D1C" w:rsidRPr="00C17BFC">
        <w:t xml:space="preserve"> please see contacts in Appendix 15.</w:t>
      </w:r>
      <w:r w:rsidR="007E2D1C">
        <w:t xml:space="preserve"> </w:t>
      </w:r>
    </w:p>
    <w:p w14:paraId="4043A189" w14:textId="42F20499" w:rsidR="009B637D" w:rsidRPr="0031331F" w:rsidRDefault="009B637D" w:rsidP="009B637D">
      <w:pPr>
        <w:pStyle w:val="BodyText"/>
        <w:rPr>
          <w:lang w:val="en-GB"/>
        </w:rPr>
      </w:pPr>
    </w:p>
    <w:p w14:paraId="7D98DD08" w14:textId="77777777" w:rsidR="006A50DF" w:rsidRPr="00F71E4C" w:rsidRDefault="006A50DF">
      <w:pPr>
        <w:pStyle w:val="Indent1"/>
        <w:tabs>
          <w:tab w:val="left" w:pos="5400"/>
          <w:tab w:val="right" w:pos="9360"/>
        </w:tabs>
      </w:pPr>
    </w:p>
    <w:sectPr w:rsidR="006A50DF" w:rsidRPr="00F71E4C" w:rsidSect="00C030FF">
      <w:headerReference w:type="even" r:id="rId20"/>
      <w:headerReference w:type="default" r:id="rId21"/>
      <w:footerReference w:type="even" r:id="rId22"/>
      <w:footerReference w:type="default" r:id="rId23"/>
      <w:headerReference w:type="first" r:id="rId24"/>
      <w:footerReference w:type="first" r:id="rId25"/>
      <w:endnotePr>
        <w:numFmt w:val="decimal"/>
      </w:endnotePr>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6C922" w14:textId="77777777" w:rsidR="0057592E" w:rsidRDefault="0057592E">
      <w:r>
        <w:separator/>
      </w:r>
    </w:p>
  </w:endnote>
  <w:endnote w:type="continuationSeparator" w:id="0">
    <w:p w14:paraId="28C68A3D" w14:textId="77777777" w:rsidR="0057592E" w:rsidRDefault="0057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806E" w14:textId="2790BE33" w:rsidR="0057592E" w:rsidRPr="0057592E" w:rsidRDefault="0057592E">
    <w:pPr>
      <w:pStyle w:val="Footer"/>
      <w:tabs>
        <w:tab w:val="clear" w:pos="4320"/>
        <w:tab w:val="clear" w:pos="8640"/>
        <w:tab w:val="right" w:pos="9360"/>
        <w:tab w:val="right" w:pos="12870"/>
      </w:tabs>
      <w:rPr>
        <w:sz w:val="20"/>
        <w:szCs w:val="20"/>
      </w:rPr>
    </w:pPr>
    <w:r w:rsidRPr="0057592E">
      <w:rPr>
        <w:sz w:val="20"/>
        <w:szCs w:val="20"/>
      </w:rPr>
      <w:t xml:space="preserve">Page </w:t>
    </w:r>
    <w:r w:rsidRPr="0057592E">
      <w:rPr>
        <w:rStyle w:val="PageNumber"/>
        <w:sz w:val="20"/>
        <w:szCs w:val="20"/>
      </w:rPr>
      <w:fldChar w:fldCharType="begin"/>
    </w:r>
    <w:r w:rsidRPr="0057592E">
      <w:rPr>
        <w:rStyle w:val="PageNumber"/>
        <w:sz w:val="20"/>
        <w:szCs w:val="20"/>
      </w:rPr>
      <w:instrText xml:space="preserve"> PAGE </w:instrText>
    </w:r>
    <w:r w:rsidRPr="0057592E">
      <w:rPr>
        <w:rStyle w:val="PageNumber"/>
        <w:sz w:val="20"/>
        <w:szCs w:val="20"/>
      </w:rPr>
      <w:fldChar w:fldCharType="separate"/>
    </w:r>
    <w:r w:rsidRPr="0057592E">
      <w:rPr>
        <w:rStyle w:val="PageNumber"/>
        <w:noProof/>
        <w:sz w:val="20"/>
        <w:szCs w:val="20"/>
      </w:rPr>
      <w:t>20</w:t>
    </w:r>
    <w:r w:rsidRPr="0057592E">
      <w:rPr>
        <w:rStyle w:val="PageNumber"/>
        <w:sz w:val="20"/>
        <w:szCs w:val="20"/>
      </w:rPr>
      <w:fldChar w:fldCharType="end"/>
    </w:r>
    <w:r w:rsidRPr="0057592E">
      <w:rPr>
        <w:rStyle w:val="PageNumber"/>
        <w:sz w:val="20"/>
        <w:szCs w:val="20"/>
      </w:rPr>
      <w:t xml:space="preserve"> of </w:t>
    </w:r>
    <w:r w:rsidRPr="0057592E">
      <w:rPr>
        <w:rStyle w:val="PageNumber"/>
        <w:sz w:val="20"/>
        <w:szCs w:val="20"/>
      </w:rPr>
      <w:fldChar w:fldCharType="begin"/>
    </w:r>
    <w:r w:rsidRPr="0057592E">
      <w:rPr>
        <w:rStyle w:val="PageNumber"/>
        <w:sz w:val="20"/>
        <w:szCs w:val="20"/>
      </w:rPr>
      <w:instrText xml:space="preserve"> NUMPAGES </w:instrText>
    </w:r>
    <w:r w:rsidRPr="0057592E">
      <w:rPr>
        <w:rStyle w:val="PageNumber"/>
        <w:sz w:val="20"/>
        <w:szCs w:val="20"/>
      </w:rPr>
      <w:fldChar w:fldCharType="separate"/>
    </w:r>
    <w:r>
      <w:rPr>
        <w:rStyle w:val="PageNumber"/>
        <w:noProof/>
        <w:sz w:val="20"/>
        <w:szCs w:val="20"/>
      </w:rPr>
      <w:t>31</w:t>
    </w:r>
    <w:r w:rsidRPr="0057592E">
      <w:rPr>
        <w:rStyle w:val="PageNumber"/>
        <w:sz w:val="20"/>
        <w:szCs w:val="20"/>
      </w:rPr>
      <w:fldChar w:fldCharType="end"/>
    </w:r>
    <w:r w:rsidRPr="0057592E">
      <w:rPr>
        <w:rStyle w:val="PageNumber"/>
        <w:sz w:val="20"/>
        <w:szCs w:val="20"/>
      </w:rPr>
      <w:tab/>
    </w:r>
    <w:r w:rsidRPr="0057592E">
      <w:rPr>
        <w:sz w:val="20"/>
        <w:szCs w:val="20"/>
      </w:rPr>
      <w:t>Appendix 1: 2008/2009 Sea Cucumber Commercial Harvest Plan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48FED" w14:textId="00D4E352" w:rsidR="0057592E" w:rsidRPr="00710431" w:rsidRDefault="0057592E" w:rsidP="007501F2">
    <w:pPr>
      <w:pStyle w:val="Footer"/>
      <w:tabs>
        <w:tab w:val="clear" w:pos="4320"/>
        <w:tab w:val="clear" w:pos="8640"/>
        <w:tab w:val="right" w:pos="9360"/>
        <w:tab w:val="right" w:pos="12870"/>
      </w:tabs>
      <w:rPr>
        <w:sz w:val="20"/>
        <w:szCs w:val="20"/>
      </w:rPr>
    </w:pPr>
    <w:r w:rsidRPr="00710431">
      <w:rPr>
        <w:sz w:val="20"/>
        <w:szCs w:val="20"/>
      </w:rPr>
      <w:t>Appendix 1: 202</w:t>
    </w:r>
    <w:r w:rsidR="00F84FB4">
      <w:rPr>
        <w:sz w:val="20"/>
        <w:szCs w:val="20"/>
      </w:rPr>
      <w:t>2</w:t>
    </w:r>
    <w:r w:rsidRPr="00710431">
      <w:rPr>
        <w:sz w:val="20"/>
        <w:szCs w:val="20"/>
      </w:rPr>
      <w:t>/202</w:t>
    </w:r>
    <w:r w:rsidR="00F84FB4">
      <w:rPr>
        <w:sz w:val="20"/>
        <w:szCs w:val="20"/>
      </w:rPr>
      <w:t>3</w:t>
    </w:r>
    <w:r w:rsidRPr="00710431">
      <w:rPr>
        <w:sz w:val="20"/>
        <w:szCs w:val="20"/>
      </w:rPr>
      <w:t xml:space="preserve"> Sea Cucumber by Dive Commercial Harvest Plan</w:t>
    </w:r>
    <w:r w:rsidRPr="00710431">
      <w:rPr>
        <w:sz w:val="20"/>
        <w:szCs w:val="20"/>
      </w:rPr>
      <w:tab/>
      <w:t xml:space="preserve">Page </w:t>
    </w:r>
    <w:r w:rsidRPr="00710431">
      <w:rPr>
        <w:rStyle w:val="PageNumber"/>
        <w:sz w:val="20"/>
        <w:szCs w:val="20"/>
      </w:rPr>
      <w:fldChar w:fldCharType="begin"/>
    </w:r>
    <w:r w:rsidRPr="00710431">
      <w:rPr>
        <w:rStyle w:val="PageNumber"/>
        <w:sz w:val="20"/>
        <w:szCs w:val="20"/>
      </w:rPr>
      <w:instrText xml:space="preserve"> PAGE </w:instrText>
    </w:r>
    <w:r w:rsidRPr="00710431">
      <w:rPr>
        <w:rStyle w:val="PageNumber"/>
        <w:sz w:val="20"/>
        <w:szCs w:val="20"/>
      </w:rPr>
      <w:fldChar w:fldCharType="separate"/>
    </w:r>
    <w:r w:rsidR="00F23D92">
      <w:rPr>
        <w:rStyle w:val="PageNumber"/>
        <w:noProof/>
        <w:sz w:val="20"/>
        <w:szCs w:val="20"/>
      </w:rPr>
      <w:t>14</w:t>
    </w:r>
    <w:r w:rsidRPr="00710431">
      <w:rPr>
        <w:rStyle w:val="PageNumber"/>
        <w:sz w:val="20"/>
        <w:szCs w:val="20"/>
      </w:rPr>
      <w:fldChar w:fldCharType="end"/>
    </w:r>
    <w:r w:rsidRPr="00710431">
      <w:rPr>
        <w:rStyle w:val="PageNumber"/>
        <w:sz w:val="20"/>
        <w:szCs w:val="20"/>
      </w:rPr>
      <w:t xml:space="preserve"> of </w:t>
    </w:r>
    <w:r w:rsidRPr="00710431">
      <w:rPr>
        <w:rStyle w:val="PageNumber"/>
        <w:sz w:val="20"/>
        <w:szCs w:val="20"/>
      </w:rPr>
      <w:fldChar w:fldCharType="begin"/>
    </w:r>
    <w:r w:rsidRPr="00710431">
      <w:rPr>
        <w:rStyle w:val="PageNumber"/>
        <w:sz w:val="20"/>
        <w:szCs w:val="20"/>
      </w:rPr>
      <w:instrText xml:space="preserve"> NUMPAGES </w:instrText>
    </w:r>
    <w:r w:rsidRPr="00710431">
      <w:rPr>
        <w:rStyle w:val="PageNumber"/>
        <w:sz w:val="20"/>
        <w:szCs w:val="20"/>
      </w:rPr>
      <w:fldChar w:fldCharType="separate"/>
    </w:r>
    <w:r w:rsidR="00F23D92">
      <w:rPr>
        <w:rStyle w:val="PageNumber"/>
        <w:noProof/>
        <w:sz w:val="20"/>
        <w:szCs w:val="20"/>
      </w:rPr>
      <w:t>31</w:t>
    </w:r>
    <w:r w:rsidRPr="00710431">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0A72" w14:textId="77777777" w:rsidR="0057592E" w:rsidRDefault="0057592E">
    <w:pPr>
      <w:pStyle w:val="Footer"/>
      <w:tabs>
        <w:tab w:val="clear" w:pos="4320"/>
        <w:tab w:val="clear" w:pos="8640"/>
        <w:tab w:val="right" w:pos="9360"/>
        <w:tab w:val="right" w:pos="12870"/>
      </w:tabs>
      <w:rPr>
        <w:sz w:val="16"/>
      </w:rPr>
    </w:pPr>
    <w:r>
      <w:rPr>
        <w:sz w:val="16"/>
      </w:rPr>
      <w:t>Appendix 4: 2000 Sea Cucumber Commercial Harvest Plan</w:t>
    </w: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21</w:t>
    </w:r>
    <w:r>
      <w:rPr>
        <w:rStyle w:val="PageNumber"/>
        <w:sz w:val="16"/>
      </w:rPr>
      <w:fldChar w:fldCharType="end"/>
    </w:r>
    <w:r>
      <w:rPr>
        <w:rStyle w:val="PageNumber"/>
        <w:sz w:val="16"/>
      </w:rPr>
      <w:t xml:space="preserve"> of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EDB10" w14:textId="77777777" w:rsidR="0057592E" w:rsidRDefault="0057592E">
      <w:r>
        <w:separator/>
      </w:r>
    </w:p>
  </w:footnote>
  <w:footnote w:type="continuationSeparator" w:id="0">
    <w:p w14:paraId="59C183FF" w14:textId="77777777" w:rsidR="0057592E" w:rsidRDefault="00575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1ED4" w14:textId="77777777" w:rsidR="007E2D1C" w:rsidRDefault="007E2D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D89FC" w14:textId="7A17C0EC" w:rsidR="007E2D1C" w:rsidRDefault="007E2D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B6FB" w14:textId="77777777" w:rsidR="007E2D1C" w:rsidRDefault="007E2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16A2C7B4"/>
    <w:lvl w:ilvl="0">
      <w:start w:val="1"/>
      <w:numFmt w:val="lowerLetter"/>
      <w:pStyle w:val="ListNumber3"/>
      <w:lvlText w:val="%1)"/>
      <w:lvlJc w:val="left"/>
      <w:pPr>
        <w:tabs>
          <w:tab w:val="num" w:pos="1440"/>
        </w:tabs>
        <w:ind w:left="1440" w:hanging="360"/>
      </w:pPr>
      <w:rPr>
        <w:rFonts w:hint="default"/>
      </w:rPr>
    </w:lvl>
  </w:abstractNum>
  <w:abstractNum w:abstractNumId="1" w15:restartNumberingAfterBreak="0">
    <w:nsid w:val="FFFFFF7F"/>
    <w:multiLevelType w:val="singleLevel"/>
    <w:tmpl w:val="1E9816A6"/>
    <w:lvl w:ilvl="0">
      <w:start w:val="1"/>
      <w:numFmt w:val="lowerLetter"/>
      <w:pStyle w:val="ListNumber2"/>
      <w:lvlText w:val="%1)"/>
      <w:lvlJc w:val="left"/>
      <w:pPr>
        <w:tabs>
          <w:tab w:val="num" w:pos="1440"/>
        </w:tabs>
        <w:ind w:left="1440" w:hanging="360"/>
      </w:pPr>
      <w:rPr>
        <w:rFonts w:hint="default"/>
      </w:rPr>
    </w:lvl>
  </w:abstractNum>
  <w:abstractNum w:abstractNumId="2" w15:restartNumberingAfterBreak="0">
    <w:nsid w:val="FFFFFF88"/>
    <w:multiLevelType w:val="singleLevel"/>
    <w:tmpl w:val="BBFE8168"/>
    <w:lvl w:ilvl="0">
      <w:start w:val="1"/>
      <w:numFmt w:val="lowerLetter"/>
      <w:pStyle w:val="ListNumber"/>
      <w:lvlText w:val="%1)"/>
      <w:lvlJc w:val="left"/>
      <w:pPr>
        <w:tabs>
          <w:tab w:val="num" w:pos="720"/>
        </w:tabs>
        <w:ind w:left="720" w:hanging="360"/>
      </w:pPr>
      <w:rPr>
        <w:rFonts w:hint="default"/>
      </w:rPr>
    </w:lvl>
  </w:abstractNum>
  <w:abstractNum w:abstractNumId="3" w15:restartNumberingAfterBreak="0">
    <w:nsid w:val="FFFFFFFB"/>
    <w:multiLevelType w:val="multilevel"/>
    <w:tmpl w:val="64DCCD6E"/>
    <w:lvl w:ilvl="0">
      <w:start w:val="1"/>
      <w:numFmt w:val="decimal"/>
      <w:pStyle w:val="Heading1"/>
      <w:lvlText w:val="%1."/>
      <w:legacy w:legacy="1" w:legacySpace="0" w:legacyIndent="720"/>
      <w:lvlJc w:val="left"/>
      <w:pPr>
        <w:ind w:left="0" w:hanging="720"/>
      </w:pPr>
    </w:lvl>
    <w:lvl w:ilvl="1">
      <w:start w:val="1"/>
      <w:numFmt w:val="decimal"/>
      <w:pStyle w:val="Heading2"/>
      <w:lvlText w:val="%1.%2."/>
      <w:legacy w:legacy="1" w:legacySpace="0" w:legacyIndent="720"/>
      <w:lvlJc w:val="left"/>
      <w:pPr>
        <w:ind w:left="720" w:hanging="720"/>
      </w:pPr>
    </w:lvl>
    <w:lvl w:ilvl="2">
      <w:start w:val="1"/>
      <w:numFmt w:val="decimal"/>
      <w:pStyle w:val="Heading3"/>
      <w:lvlText w:val="%1.%2.%3."/>
      <w:legacy w:legacy="1" w:legacySpace="0" w:legacyIndent="720"/>
      <w:lvlJc w:val="left"/>
      <w:pPr>
        <w:ind w:left="1440" w:hanging="720"/>
      </w:pPr>
    </w:lvl>
    <w:lvl w:ilvl="3">
      <w:start w:val="1"/>
      <w:numFmt w:val="decimal"/>
      <w:pStyle w:val="Heading4"/>
      <w:lvlText w:val="%1.%2.%3.%4."/>
      <w:legacy w:legacy="1" w:legacySpace="0" w:legacyIndent="1008"/>
      <w:lvlJc w:val="left"/>
    </w:lvl>
    <w:lvl w:ilvl="4">
      <w:start w:val="1"/>
      <w:numFmt w:val="decimal"/>
      <w:pStyle w:val="Heading5"/>
      <w:lvlText w:val="%1.%2.%3.%4.%5."/>
      <w:legacy w:legacy="1" w:legacySpace="0" w:legacyIndent="1008"/>
      <w:lvlJc w:val="left"/>
    </w:lvl>
    <w:lvl w:ilvl="5">
      <w:start w:val="1"/>
      <w:numFmt w:val="decimal"/>
      <w:pStyle w:val="Heading6"/>
      <w:lvlText w:val="%1.%2.%3.%4.%5.%6."/>
      <w:legacy w:legacy="1" w:legacySpace="0" w:legacyIndent="720"/>
      <w:lvlJc w:val="left"/>
      <w:pPr>
        <w:ind w:left="4896" w:hanging="720"/>
      </w:pPr>
    </w:lvl>
    <w:lvl w:ilvl="6">
      <w:start w:val="1"/>
      <w:numFmt w:val="decimal"/>
      <w:pStyle w:val="Heading7"/>
      <w:lvlText w:val="%1.%2.%3.%4.%5.%6.%7."/>
      <w:legacy w:legacy="1" w:legacySpace="0" w:legacyIndent="720"/>
      <w:lvlJc w:val="left"/>
      <w:pPr>
        <w:ind w:left="5616" w:hanging="720"/>
      </w:pPr>
    </w:lvl>
    <w:lvl w:ilvl="7">
      <w:start w:val="1"/>
      <w:numFmt w:val="decimal"/>
      <w:pStyle w:val="Heading8"/>
      <w:lvlText w:val="%1.%2.%3.%4.%5.%6.%7.%8."/>
      <w:legacy w:legacy="1" w:legacySpace="0" w:legacyIndent="720"/>
      <w:lvlJc w:val="left"/>
      <w:pPr>
        <w:ind w:left="6336" w:hanging="720"/>
      </w:pPr>
    </w:lvl>
    <w:lvl w:ilvl="8">
      <w:start w:val="1"/>
      <w:numFmt w:val="decimal"/>
      <w:pStyle w:val="Heading9"/>
      <w:lvlText w:val="%1.%2.%3.%4.%5.%6.%7.%8.%9."/>
      <w:legacy w:legacy="1" w:legacySpace="0" w:legacyIndent="720"/>
      <w:lvlJc w:val="left"/>
      <w:pPr>
        <w:ind w:left="7056" w:hanging="720"/>
      </w:pPr>
    </w:lvl>
  </w:abstractNum>
  <w:abstractNum w:abstractNumId="4" w15:restartNumberingAfterBreak="0">
    <w:nsid w:val="00625F69"/>
    <w:multiLevelType w:val="hybridMultilevel"/>
    <w:tmpl w:val="36B65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26C614F"/>
    <w:multiLevelType w:val="hybridMultilevel"/>
    <w:tmpl w:val="9460B9CC"/>
    <w:lvl w:ilvl="0" w:tplc="7494D3FE">
      <w:start w:val="1"/>
      <w:numFmt w:val="lowerLetter"/>
      <w:pStyle w:val="BulletsHeading1"/>
      <w:lvlText w:val="%1)"/>
      <w:lvlJc w:val="left"/>
      <w:pPr>
        <w:tabs>
          <w:tab w:val="num" w:pos="360"/>
        </w:tabs>
        <w:ind w:left="360" w:hanging="360"/>
      </w:pPr>
      <w:rPr>
        <w:rFonts w:ascii="Times New Roman" w:hAnsi="Times New Roman" w:hint="default"/>
        <w:b w:val="0"/>
        <w:i w:val="0"/>
        <w:sz w:val="24"/>
        <w:szCs w:val="24"/>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6" w15:restartNumberingAfterBreak="0">
    <w:nsid w:val="1E0D231E"/>
    <w:multiLevelType w:val="hybridMultilevel"/>
    <w:tmpl w:val="C6EAABFA"/>
    <w:lvl w:ilvl="0" w:tplc="54BE53B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24450D3"/>
    <w:multiLevelType w:val="hybridMultilevel"/>
    <w:tmpl w:val="D75ED7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A542EEC"/>
    <w:multiLevelType w:val="singleLevel"/>
    <w:tmpl w:val="ABC08B84"/>
    <w:lvl w:ilvl="0">
      <w:start w:val="1"/>
      <w:numFmt w:val="decimal"/>
      <w:pStyle w:val="61x"/>
      <w:lvlText w:val="6.1.%1."/>
      <w:lvlJc w:val="left"/>
      <w:pPr>
        <w:tabs>
          <w:tab w:val="num" w:pos="1440"/>
        </w:tabs>
        <w:ind w:left="1440" w:hanging="720"/>
      </w:pPr>
    </w:lvl>
  </w:abstractNum>
  <w:abstractNum w:abstractNumId="9" w15:restartNumberingAfterBreak="0">
    <w:nsid w:val="51A865AD"/>
    <w:multiLevelType w:val="singleLevel"/>
    <w:tmpl w:val="3F2E2932"/>
    <w:lvl w:ilvl="0">
      <w:start w:val="1"/>
      <w:numFmt w:val="decimal"/>
      <w:pStyle w:val="1x"/>
      <w:lvlText w:val="1.%1."/>
      <w:lvlJc w:val="left"/>
      <w:pPr>
        <w:tabs>
          <w:tab w:val="num" w:pos="720"/>
        </w:tabs>
        <w:ind w:left="720" w:hanging="720"/>
      </w:pPr>
      <w:rPr>
        <w:b/>
      </w:rPr>
    </w:lvl>
  </w:abstractNum>
  <w:abstractNum w:abstractNumId="10" w15:restartNumberingAfterBreak="0">
    <w:nsid w:val="5FCB3915"/>
    <w:multiLevelType w:val="hybridMultilevel"/>
    <w:tmpl w:val="46C42A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D791216"/>
    <w:multiLevelType w:val="hybridMultilevel"/>
    <w:tmpl w:val="BE0C736E"/>
    <w:lvl w:ilvl="0" w:tplc="9FE0EF6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3"/>
  </w:num>
  <w:num w:numId="2">
    <w:abstractNumId w:val="8"/>
  </w:num>
  <w:num w:numId="3">
    <w:abstractNumId w:val="9"/>
  </w:num>
  <w:num w:numId="4">
    <w:abstractNumId w:val="5"/>
  </w:num>
  <w:num w:numId="5">
    <w:abstractNumId w:val="2"/>
  </w:num>
  <w:num w:numId="6">
    <w:abstractNumId w:val="1"/>
  </w:num>
  <w:num w:numId="7">
    <w:abstractNumId w:val="0"/>
  </w:num>
  <w:num w:numId="8">
    <w:abstractNumId w:val="1"/>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6"/>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
  </w:num>
  <w:num w:numId="19">
    <w:abstractNumId w:val="3"/>
  </w:num>
  <w:num w:numId="20">
    <w:abstractNumId w:val="7"/>
  </w:num>
  <w:num w:numId="21">
    <w:abstractNumId w:val="10"/>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151"/>
    <w:rsid w:val="00001757"/>
    <w:rsid w:val="00002CD3"/>
    <w:rsid w:val="0000396D"/>
    <w:rsid w:val="00006F29"/>
    <w:rsid w:val="0000727B"/>
    <w:rsid w:val="00007CBE"/>
    <w:rsid w:val="00013601"/>
    <w:rsid w:val="00014E1D"/>
    <w:rsid w:val="00015A5C"/>
    <w:rsid w:val="00016CD0"/>
    <w:rsid w:val="00017A28"/>
    <w:rsid w:val="000204D2"/>
    <w:rsid w:val="000208C9"/>
    <w:rsid w:val="00021AF7"/>
    <w:rsid w:val="00022464"/>
    <w:rsid w:val="00024082"/>
    <w:rsid w:val="000272DE"/>
    <w:rsid w:val="00030C68"/>
    <w:rsid w:val="00031AF4"/>
    <w:rsid w:val="00033F5E"/>
    <w:rsid w:val="000367B5"/>
    <w:rsid w:val="00036B34"/>
    <w:rsid w:val="00036F9B"/>
    <w:rsid w:val="0003739D"/>
    <w:rsid w:val="00041831"/>
    <w:rsid w:val="000501F7"/>
    <w:rsid w:val="00050F4F"/>
    <w:rsid w:val="00051BF5"/>
    <w:rsid w:val="000528A1"/>
    <w:rsid w:val="00053B32"/>
    <w:rsid w:val="000543BF"/>
    <w:rsid w:val="0005746F"/>
    <w:rsid w:val="00060F7F"/>
    <w:rsid w:val="000612CF"/>
    <w:rsid w:val="00062406"/>
    <w:rsid w:val="00063334"/>
    <w:rsid w:val="00063CC7"/>
    <w:rsid w:val="0006426C"/>
    <w:rsid w:val="00065AFC"/>
    <w:rsid w:val="00071C3B"/>
    <w:rsid w:val="00072CAE"/>
    <w:rsid w:val="000743B6"/>
    <w:rsid w:val="0007584F"/>
    <w:rsid w:val="00076B8A"/>
    <w:rsid w:val="00080314"/>
    <w:rsid w:val="0008118B"/>
    <w:rsid w:val="00081716"/>
    <w:rsid w:val="000817EC"/>
    <w:rsid w:val="00082F54"/>
    <w:rsid w:val="00086A7F"/>
    <w:rsid w:val="00097FF9"/>
    <w:rsid w:val="000A03B6"/>
    <w:rsid w:val="000A0BDC"/>
    <w:rsid w:val="000A4F66"/>
    <w:rsid w:val="000A66B1"/>
    <w:rsid w:val="000A6766"/>
    <w:rsid w:val="000A6CD6"/>
    <w:rsid w:val="000A7127"/>
    <w:rsid w:val="000B1011"/>
    <w:rsid w:val="000C00FD"/>
    <w:rsid w:val="000C054B"/>
    <w:rsid w:val="000C0AC1"/>
    <w:rsid w:val="000C7D49"/>
    <w:rsid w:val="000D1042"/>
    <w:rsid w:val="000D1951"/>
    <w:rsid w:val="000D3983"/>
    <w:rsid w:val="000D5186"/>
    <w:rsid w:val="000E28C5"/>
    <w:rsid w:val="000E2A57"/>
    <w:rsid w:val="000E373C"/>
    <w:rsid w:val="000E3932"/>
    <w:rsid w:val="000F29CC"/>
    <w:rsid w:val="000F4BFD"/>
    <w:rsid w:val="000F4F8E"/>
    <w:rsid w:val="000F5976"/>
    <w:rsid w:val="0010045D"/>
    <w:rsid w:val="001031D4"/>
    <w:rsid w:val="00103F1B"/>
    <w:rsid w:val="0010519A"/>
    <w:rsid w:val="00107F51"/>
    <w:rsid w:val="00110819"/>
    <w:rsid w:val="00111476"/>
    <w:rsid w:val="00111817"/>
    <w:rsid w:val="00112BFF"/>
    <w:rsid w:val="001204B5"/>
    <w:rsid w:val="00120BE9"/>
    <w:rsid w:val="00121858"/>
    <w:rsid w:val="001241BC"/>
    <w:rsid w:val="00126822"/>
    <w:rsid w:val="00127AC5"/>
    <w:rsid w:val="00130EDB"/>
    <w:rsid w:val="001321DD"/>
    <w:rsid w:val="001329FE"/>
    <w:rsid w:val="00134EEC"/>
    <w:rsid w:val="0013632E"/>
    <w:rsid w:val="001377A1"/>
    <w:rsid w:val="001417EC"/>
    <w:rsid w:val="00141AE2"/>
    <w:rsid w:val="00142CAD"/>
    <w:rsid w:val="00147088"/>
    <w:rsid w:val="001514D6"/>
    <w:rsid w:val="00153E4C"/>
    <w:rsid w:val="00155144"/>
    <w:rsid w:val="0015712A"/>
    <w:rsid w:val="00161530"/>
    <w:rsid w:val="00161D42"/>
    <w:rsid w:val="00162A34"/>
    <w:rsid w:val="001658DA"/>
    <w:rsid w:val="00167193"/>
    <w:rsid w:val="00171CB5"/>
    <w:rsid w:val="001721FE"/>
    <w:rsid w:val="0017533D"/>
    <w:rsid w:val="00176561"/>
    <w:rsid w:val="00176721"/>
    <w:rsid w:val="0017794B"/>
    <w:rsid w:val="001800E8"/>
    <w:rsid w:val="00180666"/>
    <w:rsid w:val="00185840"/>
    <w:rsid w:val="001861A7"/>
    <w:rsid w:val="00193813"/>
    <w:rsid w:val="00193923"/>
    <w:rsid w:val="0019495C"/>
    <w:rsid w:val="00196D4C"/>
    <w:rsid w:val="00196F62"/>
    <w:rsid w:val="00197A82"/>
    <w:rsid w:val="001A02BD"/>
    <w:rsid w:val="001A0C60"/>
    <w:rsid w:val="001A0E37"/>
    <w:rsid w:val="001A145F"/>
    <w:rsid w:val="001A3D1F"/>
    <w:rsid w:val="001A6915"/>
    <w:rsid w:val="001A7255"/>
    <w:rsid w:val="001B3096"/>
    <w:rsid w:val="001B3A0C"/>
    <w:rsid w:val="001B564B"/>
    <w:rsid w:val="001B5CC0"/>
    <w:rsid w:val="001B7EBA"/>
    <w:rsid w:val="001D1724"/>
    <w:rsid w:val="001D2963"/>
    <w:rsid w:val="001D5D9A"/>
    <w:rsid w:val="001D7848"/>
    <w:rsid w:val="001E0151"/>
    <w:rsid w:val="001E7261"/>
    <w:rsid w:val="001E77A4"/>
    <w:rsid w:val="001E7BBE"/>
    <w:rsid w:val="001F0F56"/>
    <w:rsid w:val="001F1AA1"/>
    <w:rsid w:val="001F206D"/>
    <w:rsid w:val="001F2D0C"/>
    <w:rsid w:val="001F3841"/>
    <w:rsid w:val="001F6C4B"/>
    <w:rsid w:val="001F7B51"/>
    <w:rsid w:val="00201A64"/>
    <w:rsid w:val="0020268A"/>
    <w:rsid w:val="00202E3A"/>
    <w:rsid w:val="002048A9"/>
    <w:rsid w:val="00204B6D"/>
    <w:rsid w:val="002076F0"/>
    <w:rsid w:val="002100FA"/>
    <w:rsid w:val="0021034C"/>
    <w:rsid w:val="00210695"/>
    <w:rsid w:val="00211001"/>
    <w:rsid w:val="00211987"/>
    <w:rsid w:val="002127C7"/>
    <w:rsid w:val="00213390"/>
    <w:rsid w:val="00214DCE"/>
    <w:rsid w:val="00215BF0"/>
    <w:rsid w:val="00215D22"/>
    <w:rsid w:val="00216BC0"/>
    <w:rsid w:val="002177C3"/>
    <w:rsid w:val="00217D59"/>
    <w:rsid w:val="00217F61"/>
    <w:rsid w:val="002200F2"/>
    <w:rsid w:val="00221483"/>
    <w:rsid w:val="00221AF2"/>
    <w:rsid w:val="002237C5"/>
    <w:rsid w:val="002264FF"/>
    <w:rsid w:val="002269CF"/>
    <w:rsid w:val="00227B10"/>
    <w:rsid w:val="00234161"/>
    <w:rsid w:val="00240575"/>
    <w:rsid w:val="002408C2"/>
    <w:rsid w:val="00243DB2"/>
    <w:rsid w:val="0024523A"/>
    <w:rsid w:val="002457EB"/>
    <w:rsid w:val="00245E9A"/>
    <w:rsid w:val="002512AA"/>
    <w:rsid w:val="00251A0A"/>
    <w:rsid w:val="00253A0E"/>
    <w:rsid w:val="00254654"/>
    <w:rsid w:val="00255A3C"/>
    <w:rsid w:val="00256C01"/>
    <w:rsid w:val="00257DDF"/>
    <w:rsid w:val="00263F64"/>
    <w:rsid w:val="00266242"/>
    <w:rsid w:val="00267A66"/>
    <w:rsid w:val="00267C55"/>
    <w:rsid w:val="00267FDB"/>
    <w:rsid w:val="00271E73"/>
    <w:rsid w:val="0027497C"/>
    <w:rsid w:val="00280943"/>
    <w:rsid w:val="0028540A"/>
    <w:rsid w:val="002858EA"/>
    <w:rsid w:val="0028634F"/>
    <w:rsid w:val="0029050B"/>
    <w:rsid w:val="0029122E"/>
    <w:rsid w:val="0029148D"/>
    <w:rsid w:val="00294645"/>
    <w:rsid w:val="00294C49"/>
    <w:rsid w:val="00294C8C"/>
    <w:rsid w:val="0029705C"/>
    <w:rsid w:val="002A079A"/>
    <w:rsid w:val="002A1CC8"/>
    <w:rsid w:val="002A3B4D"/>
    <w:rsid w:val="002A4B41"/>
    <w:rsid w:val="002A6862"/>
    <w:rsid w:val="002A774E"/>
    <w:rsid w:val="002B158F"/>
    <w:rsid w:val="002B16C3"/>
    <w:rsid w:val="002B1E6C"/>
    <w:rsid w:val="002B2515"/>
    <w:rsid w:val="002B4178"/>
    <w:rsid w:val="002B5620"/>
    <w:rsid w:val="002C2C62"/>
    <w:rsid w:val="002C2D61"/>
    <w:rsid w:val="002C3936"/>
    <w:rsid w:val="002C4739"/>
    <w:rsid w:val="002C5F4A"/>
    <w:rsid w:val="002C6498"/>
    <w:rsid w:val="002C715C"/>
    <w:rsid w:val="002D2669"/>
    <w:rsid w:val="002D6182"/>
    <w:rsid w:val="002D6FEC"/>
    <w:rsid w:val="002E02C9"/>
    <w:rsid w:val="002E32E0"/>
    <w:rsid w:val="002E434F"/>
    <w:rsid w:val="002E5857"/>
    <w:rsid w:val="002E60F2"/>
    <w:rsid w:val="002E6322"/>
    <w:rsid w:val="002E687C"/>
    <w:rsid w:val="002F02F0"/>
    <w:rsid w:val="002F5BEA"/>
    <w:rsid w:val="002F6812"/>
    <w:rsid w:val="002F69CA"/>
    <w:rsid w:val="002F7507"/>
    <w:rsid w:val="00300229"/>
    <w:rsid w:val="003034F3"/>
    <w:rsid w:val="003044CE"/>
    <w:rsid w:val="00305B97"/>
    <w:rsid w:val="003061BA"/>
    <w:rsid w:val="00312220"/>
    <w:rsid w:val="0031331F"/>
    <w:rsid w:val="00321D02"/>
    <w:rsid w:val="00321D2C"/>
    <w:rsid w:val="003226EA"/>
    <w:rsid w:val="00322AE3"/>
    <w:rsid w:val="00323D3C"/>
    <w:rsid w:val="003254FE"/>
    <w:rsid w:val="00326D2A"/>
    <w:rsid w:val="00326DCA"/>
    <w:rsid w:val="00327D1B"/>
    <w:rsid w:val="0033101B"/>
    <w:rsid w:val="00331BAD"/>
    <w:rsid w:val="003320DA"/>
    <w:rsid w:val="00335364"/>
    <w:rsid w:val="003357D6"/>
    <w:rsid w:val="00335BF9"/>
    <w:rsid w:val="003404A5"/>
    <w:rsid w:val="0034243F"/>
    <w:rsid w:val="003438AF"/>
    <w:rsid w:val="00343DE2"/>
    <w:rsid w:val="003440B7"/>
    <w:rsid w:val="003458EA"/>
    <w:rsid w:val="00346E38"/>
    <w:rsid w:val="00351E19"/>
    <w:rsid w:val="00352C0E"/>
    <w:rsid w:val="0035499D"/>
    <w:rsid w:val="00354DB5"/>
    <w:rsid w:val="00354DEC"/>
    <w:rsid w:val="00357F23"/>
    <w:rsid w:val="003608F0"/>
    <w:rsid w:val="00360F2E"/>
    <w:rsid w:val="00361D11"/>
    <w:rsid w:val="00362494"/>
    <w:rsid w:val="003647E1"/>
    <w:rsid w:val="00366911"/>
    <w:rsid w:val="00366A80"/>
    <w:rsid w:val="00366C63"/>
    <w:rsid w:val="003675BC"/>
    <w:rsid w:val="0037002A"/>
    <w:rsid w:val="00371BEB"/>
    <w:rsid w:val="0037227B"/>
    <w:rsid w:val="00372B37"/>
    <w:rsid w:val="003731F9"/>
    <w:rsid w:val="003752BF"/>
    <w:rsid w:val="00380D61"/>
    <w:rsid w:val="00381C64"/>
    <w:rsid w:val="00382796"/>
    <w:rsid w:val="003841DE"/>
    <w:rsid w:val="003841F9"/>
    <w:rsid w:val="00384778"/>
    <w:rsid w:val="00385561"/>
    <w:rsid w:val="003863D8"/>
    <w:rsid w:val="0038733C"/>
    <w:rsid w:val="00387531"/>
    <w:rsid w:val="003875FF"/>
    <w:rsid w:val="003901F0"/>
    <w:rsid w:val="00390EF7"/>
    <w:rsid w:val="003937DB"/>
    <w:rsid w:val="00394D57"/>
    <w:rsid w:val="00394EA1"/>
    <w:rsid w:val="003976BD"/>
    <w:rsid w:val="003A12ED"/>
    <w:rsid w:val="003A5114"/>
    <w:rsid w:val="003A556B"/>
    <w:rsid w:val="003A57EA"/>
    <w:rsid w:val="003B178B"/>
    <w:rsid w:val="003B22C3"/>
    <w:rsid w:val="003B29F7"/>
    <w:rsid w:val="003B3FCA"/>
    <w:rsid w:val="003B7C71"/>
    <w:rsid w:val="003C03A2"/>
    <w:rsid w:val="003C0CF5"/>
    <w:rsid w:val="003C21F7"/>
    <w:rsid w:val="003C43C5"/>
    <w:rsid w:val="003C506C"/>
    <w:rsid w:val="003C56E0"/>
    <w:rsid w:val="003C6E69"/>
    <w:rsid w:val="003C7A14"/>
    <w:rsid w:val="003C7CA6"/>
    <w:rsid w:val="003D0E01"/>
    <w:rsid w:val="003D138B"/>
    <w:rsid w:val="003D204F"/>
    <w:rsid w:val="003D2A9A"/>
    <w:rsid w:val="003D71FF"/>
    <w:rsid w:val="003D73B4"/>
    <w:rsid w:val="003D7437"/>
    <w:rsid w:val="003E0626"/>
    <w:rsid w:val="003E114F"/>
    <w:rsid w:val="003E1D8B"/>
    <w:rsid w:val="003E28F3"/>
    <w:rsid w:val="003E3AA8"/>
    <w:rsid w:val="003E5600"/>
    <w:rsid w:val="003F0B47"/>
    <w:rsid w:val="003F1730"/>
    <w:rsid w:val="003F7345"/>
    <w:rsid w:val="003F7397"/>
    <w:rsid w:val="003F7578"/>
    <w:rsid w:val="0040000C"/>
    <w:rsid w:val="00401C98"/>
    <w:rsid w:val="004023D6"/>
    <w:rsid w:val="004032C6"/>
    <w:rsid w:val="00405460"/>
    <w:rsid w:val="00405D56"/>
    <w:rsid w:val="0040688E"/>
    <w:rsid w:val="0040768B"/>
    <w:rsid w:val="004102B3"/>
    <w:rsid w:val="0041063E"/>
    <w:rsid w:val="00412FE8"/>
    <w:rsid w:val="004138AF"/>
    <w:rsid w:val="00413BAE"/>
    <w:rsid w:val="004153D6"/>
    <w:rsid w:val="0041601E"/>
    <w:rsid w:val="00416875"/>
    <w:rsid w:val="004171DC"/>
    <w:rsid w:val="00422FCE"/>
    <w:rsid w:val="00424348"/>
    <w:rsid w:val="00425198"/>
    <w:rsid w:val="00425757"/>
    <w:rsid w:val="00425B01"/>
    <w:rsid w:val="00426193"/>
    <w:rsid w:val="004273BB"/>
    <w:rsid w:val="00430743"/>
    <w:rsid w:val="0043094D"/>
    <w:rsid w:val="004334B2"/>
    <w:rsid w:val="00433F65"/>
    <w:rsid w:val="00434F28"/>
    <w:rsid w:val="00442888"/>
    <w:rsid w:val="00446D16"/>
    <w:rsid w:val="00453271"/>
    <w:rsid w:val="00453C57"/>
    <w:rsid w:val="00454626"/>
    <w:rsid w:val="00454C0D"/>
    <w:rsid w:val="004556C3"/>
    <w:rsid w:val="004566EC"/>
    <w:rsid w:val="00456F30"/>
    <w:rsid w:val="00463F49"/>
    <w:rsid w:val="00465637"/>
    <w:rsid w:val="00465AF0"/>
    <w:rsid w:val="004713CC"/>
    <w:rsid w:val="00473895"/>
    <w:rsid w:val="0047556D"/>
    <w:rsid w:val="00482E27"/>
    <w:rsid w:val="00484251"/>
    <w:rsid w:val="00484420"/>
    <w:rsid w:val="0048470D"/>
    <w:rsid w:val="00484CF1"/>
    <w:rsid w:val="00487313"/>
    <w:rsid w:val="0048769D"/>
    <w:rsid w:val="004879B8"/>
    <w:rsid w:val="00493122"/>
    <w:rsid w:val="00493F49"/>
    <w:rsid w:val="00494AC7"/>
    <w:rsid w:val="00494DF9"/>
    <w:rsid w:val="00495FD1"/>
    <w:rsid w:val="00496457"/>
    <w:rsid w:val="004A0F3E"/>
    <w:rsid w:val="004B40F4"/>
    <w:rsid w:val="004B4815"/>
    <w:rsid w:val="004B5571"/>
    <w:rsid w:val="004B6ED5"/>
    <w:rsid w:val="004B7099"/>
    <w:rsid w:val="004C0999"/>
    <w:rsid w:val="004C1B5D"/>
    <w:rsid w:val="004C580D"/>
    <w:rsid w:val="004D0BD8"/>
    <w:rsid w:val="004D408B"/>
    <w:rsid w:val="004D4D0E"/>
    <w:rsid w:val="004D5813"/>
    <w:rsid w:val="004E0D49"/>
    <w:rsid w:val="004E3806"/>
    <w:rsid w:val="004E3870"/>
    <w:rsid w:val="004E5204"/>
    <w:rsid w:val="004E7946"/>
    <w:rsid w:val="004E7F84"/>
    <w:rsid w:val="004F00BB"/>
    <w:rsid w:val="004F25EC"/>
    <w:rsid w:val="004F45A8"/>
    <w:rsid w:val="004F4B36"/>
    <w:rsid w:val="004F5BC9"/>
    <w:rsid w:val="004F5F43"/>
    <w:rsid w:val="004F65A6"/>
    <w:rsid w:val="005018B5"/>
    <w:rsid w:val="0050249A"/>
    <w:rsid w:val="005078F9"/>
    <w:rsid w:val="0051051F"/>
    <w:rsid w:val="00511890"/>
    <w:rsid w:val="00511B09"/>
    <w:rsid w:val="005123BE"/>
    <w:rsid w:val="0051315C"/>
    <w:rsid w:val="0051381D"/>
    <w:rsid w:val="00517D5D"/>
    <w:rsid w:val="00520D73"/>
    <w:rsid w:val="00521CE1"/>
    <w:rsid w:val="00524AD4"/>
    <w:rsid w:val="00525FA9"/>
    <w:rsid w:val="00526011"/>
    <w:rsid w:val="00526E6F"/>
    <w:rsid w:val="0052789F"/>
    <w:rsid w:val="005301D6"/>
    <w:rsid w:val="00530657"/>
    <w:rsid w:val="00530D1F"/>
    <w:rsid w:val="00531C08"/>
    <w:rsid w:val="00534473"/>
    <w:rsid w:val="005363F8"/>
    <w:rsid w:val="005377D5"/>
    <w:rsid w:val="00541010"/>
    <w:rsid w:val="0054615B"/>
    <w:rsid w:val="00552B59"/>
    <w:rsid w:val="005547CE"/>
    <w:rsid w:val="00556AA8"/>
    <w:rsid w:val="00557002"/>
    <w:rsid w:val="00561176"/>
    <w:rsid w:val="005611B5"/>
    <w:rsid w:val="005612D1"/>
    <w:rsid w:val="00561862"/>
    <w:rsid w:val="005626A2"/>
    <w:rsid w:val="005726AB"/>
    <w:rsid w:val="0057278C"/>
    <w:rsid w:val="00572AF9"/>
    <w:rsid w:val="005735BF"/>
    <w:rsid w:val="005737D5"/>
    <w:rsid w:val="005737DD"/>
    <w:rsid w:val="00574B17"/>
    <w:rsid w:val="00574D50"/>
    <w:rsid w:val="00575327"/>
    <w:rsid w:val="0057592E"/>
    <w:rsid w:val="00580D53"/>
    <w:rsid w:val="00581CC3"/>
    <w:rsid w:val="00582144"/>
    <w:rsid w:val="00583262"/>
    <w:rsid w:val="00583F0E"/>
    <w:rsid w:val="00584908"/>
    <w:rsid w:val="005920AC"/>
    <w:rsid w:val="005925CD"/>
    <w:rsid w:val="00593773"/>
    <w:rsid w:val="005946B7"/>
    <w:rsid w:val="00594995"/>
    <w:rsid w:val="005A2263"/>
    <w:rsid w:val="005A2A71"/>
    <w:rsid w:val="005A3D3B"/>
    <w:rsid w:val="005A47A5"/>
    <w:rsid w:val="005A7372"/>
    <w:rsid w:val="005A7926"/>
    <w:rsid w:val="005A7F13"/>
    <w:rsid w:val="005B0899"/>
    <w:rsid w:val="005B0B92"/>
    <w:rsid w:val="005B1EE1"/>
    <w:rsid w:val="005B2FBC"/>
    <w:rsid w:val="005B3B81"/>
    <w:rsid w:val="005C0680"/>
    <w:rsid w:val="005C1059"/>
    <w:rsid w:val="005C1138"/>
    <w:rsid w:val="005C589F"/>
    <w:rsid w:val="005C7C99"/>
    <w:rsid w:val="005D0E76"/>
    <w:rsid w:val="005D1D47"/>
    <w:rsid w:val="005D74E0"/>
    <w:rsid w:val="005E2E55"/>
    <w:rsid w:val="005E371C"/>
    <w:rsid w:val="005E3CAB"/>
    <w:rsid w:val="005E4353"/>
    <w:rsid w:val="005E7343"/>
    <w:rsid w:val="005E7ED9"/>
    <w:rsid w:val="005F1B32"/>
    <w:rsid w:val="005F1E0D"/>
    <w:rsid w:val="006009C6"/>
    <w:rsid w:val="00602976"/>
    <w:rsid w:val="00602D7D"/>
    <w:rsid w:val="0060475B"/>
    <w:rsid w:val="006062A2"/>
    <w:rsid w:val="00612081"/>
    <w:rsid w:val="00612D28"/>
    <w:rsid w:val="00613E11"/>
    <w:rsid w:val="00614025"/>
    <w:rsid w:val="00614DF7"/>
    <w:rsid w:val="00614F10"/>
    <w:rsid w:val="006152D1"/>
    <w:rsid w:val="00615BCB"/>
    <w:rsid w:val="00615F16"/>
    <w:rsid w:val="00620C31"/>
    <w:rsid w:val="006242AB"/>
    <w:rsid w:val="006242D0"/>
    <w:rsid w:val="0062461B"/>
    <w:rsid w:val="0062475E"/>
    <w:rsid w:val="006248C4"/>
    <w:rsid w:val="006251A2"/>
    <w:rsid w:val="00625414"/>
    <w:rsid w:val="0062572A"/>
    <w:rsid w:val="0062670A"/>
    <w:rsid w:val="00627D38"/>
    <w:rsid w:val="0063072F"/>
    <w:rsid w:val="00630A7C"/>
    <w:rsid w:val="00632616"/>
    <w:rsid w:val="00636FC8"/>
    <w:rsid w:val="0063761C"/>
    <w:rsid w:val="00641D58"/>
    <w:rsid w:val="00641EC8"/>
    <w:rsid w:val="00643045"/>
    <w:rsid w:val="00643B15"/>
    <w:rsid w:val="006469C1"/>
    <w:rsid w:val="006471ED"/>
    <w:rsid w:val="00647CC1"/>
    <w:rsid w:val="006516ED"/>
    <w:rsid w:val="006532EA"/>
    <w:rsid w:val="0065388C"/>
    <w:rsid w:val="00653A35"/>
    <w:rsid w:val="006550B7"/>
    <w:rsid w:val="00655781"/>
    <w:rsid w:val="00656142"/>
    <w:rsid w:val="00656E57"/>
    <w:rsid w:val="00656F1A"/>
    <w:rsid w:val="0066135B"/>
    <w:rsid w:val="006618F5"/>
    <w:rsid w:val="00661C7B"/>
    <w:rsid w:val="0066271E"/>
    <w:rsid w:val="00664FC3"/>
    <w:rsid w:val="00665430"/>
    <w:rsid w:val="00672307"/>
    <w:rsid w:val="0067621C"/>
    <w:rsid w:val="0067677C"/>
    <w:rsid w:val="00676968"/>
    <w:rsid w:val="00676F18"/>
    <w:rsid w:val="00680A25"/>
    <w:rsid w:val="00680D8F"/>
    <w:rsid w:val="00681304"/>
    <w:rsid w:val="00681A0A"/>
    <w:rsid w:val="00683CB9"/>
    <w:rsid w:val="00683DF6"/>
    <w:rsid w:val="00684D12"/>
    <w:rsid w:val="006852B4"/>
    <w:rsid w:val="00687308"/>
    <w:rsid w:val="0068780F"/>
    <w:rsid w:val="00692B47"/>
    <w:rsid w:val="0069426B"/>
    <w:rsid w:val="006A133D"/>
    <w:rsid w:val="006A1E26"/>
    <w:rsid w:val="006A28C0"/>
    <w:rsid w:val="006A50DF"/>
    <w:rsid w:val="006B21D4"/>
    <w:rsid w:val="006C16CE"/>
    <w:rsid w:val="006C19A0"/>
    <w:rsid w:val="006C2277"/>
    <w:rsid w:val="006C37B2"/>
    <w:rsid w:val="006C3E36"/>
    <w:rsid w:val="006C43AF"/>
    <w:rsid w:val="006C5AFD"/>
    <w:rsid w:val="006D0C73"/>
    <w:rsid w:val="006D1752"/>
    <w:rsid w:val="006D49B5"/>
    <w:rsid w:val="006D7A64"/>
    <w:rsid w:val="006E0755"/>
    <w:rsid w:val="006E0C66"/>
    <w:rsid w:val="006E25E9"/>
    <w:rsid w:val="006E2D44"/>
    <w:rsid w:val="006E36FD"/>
    <w:rsid w:val="006E620E"/>
    <w:rsid w:val="006E6B7C"/>
    <w:rsid w:val="006F17B2"/>
    <w:rsid w:val="006F3789"/>
    <w:rsid w:val="007001D8"/>
    <w:rsid w:val="00700361"/>
    <w:rsid w:val="00703B97"/>
    <w:rsid w:val="007073AD"/>
    <w:rsid w:val="00707836"/>
    <w:rsid w:val="00710431"/>
    <w:rsid w:val="00710F92"/>
    <w:rsid w:val="00711675"/>
    <w:rsid w:val="00713FEE"/>
    <w:rsid w:val="00716080"/>
    <w:rsid w:val="00716168"/>
    <w:rsid w:val="0071652E"/>
    <w:rsid w:val="00724154"/>
    <w:rsid w:val="00731FAF"/>
    <w:rsid w:val="00732FE5"/>
    <w:rsid w:val="00733224"/>
    <w:rsid w:val="0073450B"/>
    <w:rsid w:val="00734AAA"/>
    <w:rsid w:val="007356A2"/>
    <w:rsid w:val="0073774F"/>
    <w:rsid w:val="00737AE5"/>
    <w:rsid w:val="00740601"/>
    <w:rsid w:val="00741EA4"/>
    <w:rsid w:val="007421DC"/>
    <w:rsid w:val="00742331"/>
    <w:rsid w:val="0074524A"/>
    <w:rsid w:val="007463D8"/>
    <w:rsid w:val="0074692C"/>
    <w:rsid w:val="00750090"/>
    <w:rsid w:val="00750188"/>
    <w:rsid w:val="007501F2"/>
    <w:rsid w:val="007532DC"/>
    <w:rsid w:val="007568E0"/>
    <w:rsid w:val="007574C5"/>
    <w:rsid w:val="00757C9F"/>
    <w:rsid w:val="007604A6"/>
    <w:rsid w:val="0076286F"/>
    <w:rsid w:val="00764C31"/>
    <w:rsid w:val="0076543D"/>
    <w:rsid w:val="00765E96"/>
    <w:rsid w:val="007744E7"/>
    <w:rsid w:val="0078208F"/>
    <w:rsid w:val="00783FA9"/>
    <w:rsid w:val="0078436A"/>
    <w:rsid w:val="0078650C"/>
    <w:rsid w:val="007868E4"/>
    <w:rsid w:val="00792249"/>
    <w:rsid w:val="00793D56"/>
    <w:rsid w:val="00794718"/>
    <w:rsid w:val="0079694F"/>
    <w:rsid w:val="007A1248"/>
    <w:rsid w:val="007A25E7"/>
    <w:rsid w:val="007A28DE"/>
    <w:rsid w:val="007B10B7"/>
    <w:rsid w:val="007B3828"/>
    <w:rsid w:val="007B3D70"/>
    <w:rsid w:val="007B61EE"/>
    <w:rsid w:val="007B6C4E"/>
    <w:rsid w:val="007B7EAE"/>
    <w:rsid w:val="007C0C99"/>
    <w:rsid w:val="007C539F"/>
    <w:rsid w:val="007C5DC8"/>
    <w:rsid w:val="007C6105"/>
    <w:rsid w:val="007C6394"/>
    <w:rsid w:val="007D28CE"/>
    <w:rsid w:val="007D3B8F"/>
    <w:rsid w:val="007D5654"/>
    <w:rsid w:val="007D6169"/>
    <w:rsid w:val="007D6250"/>
    <w:rsid w:val="007D7C7D"/>
    <w:rsid w:val="007E11B1"/>
    <w:rsid w:val="007E2D1C"/>
    <w:rsid w:val="007E3029"/>
    <w:rsid w:val="007E4FDA"/>
    <w:rsid w:val="007F0722"/>
    <w:rsid w:val="007F10D4"/>
    <w:rsid w:val="007F242C"/>
    <w:rsid w:val="007F2885"/>
    <w:rsid w:val="007F364D"/>
    <w:rsid w:val="007F7CE7"/>
    <w:rsid w:val="00800CD8"/>
    <w:rsid w:val="00804311"/>
    <w:rsid w:val="00810CF2"/>
    <w:rsid w:val="0081299B"/>
    <w:rsid w:val="008169C9"/>
    <w:rsid w:val="00817346"/>
    <w:rsid w:val="008179DA"/>
    <w:rsid w:val="00817D75"/>
    <w:rsid w:val="0082198E"/>
    <w:rsid w:val="0082369C"/>
    <w:rsid w:val="00825825"/>
    <w:rsid w:val="00825D28"/>
    <w:rsid w:val="008276E2"/>
    <w:rsid w:val="008317A2"/>
    <w:rsid w:val="008324FF"/>
    <w:rsid w:val="008337F3"/>
    <w:rsid w:val="00834929"/>
    <w:rsid w:val="0083499B"/>
    <w:rsid w:val="008416F8"/>
    <w:rsid w:val="00841786"/>
    <w:rsid w:val="008418F6"/>
    <w:rsid w:val="00843E0C"/>
    <w:rsid w:val="008446DD"/>
    <w:rsid w:val="0084522D"/>
    <w:rsid w:val="0084546F"/>
    <w:rsid w:val="00845813"/>
    <w:rsid w:val="00846150"/>
    <w:rsid w:val="008471A4"/>
    <w:rsid w:val="00853061"/>
    <w:rsid w:val="00853707"/>
    <w:rsid w:val="00853F00"/>
    <w:rsid w:val="00854F9D"/>
    <w:rsid w:val="00856FDC"/>
    <w:rsid w:val="00860F94"/>
    <w:rsid w:val="00862779"/>
    <w:rsid w:val="00864CA6"/>
    <w:rsid w:val="008700D3"/>
    <w:rsid w:val="008714DB"/>
    <w:rsid w:val="00876C70"/>
    <w:rsid w:val="00876D3F"/>
    <w:rsid w:val="008853FF"/>
    <w:rsid w:val="008870E3"/>
    <w:rsid w:val="00890198"/>
    <w:rsid w:val="00890C48"/>
    <w:rsid w:val="00890CC6"/>
    <w:rsid w:val="00891632"/>
    <w:rsid w:val="008921E2"/>
    <w:rsid w:val="0089778E"/>
    <w:rsid w:val="008A60FC"/>
    <w:rsid w:val="008B1045"/>
    <w:rsid w:val="008B104F"/>
    <w:rsid w:val="008B363A"/>
    <w:rsid w:val="008B5E93"/>
    <w:rsid w:val="008B5F32"/>
    <w:rsid w:val="008B6572"/>
    <w:rsid w:val="008B7EA6"/>
    <w:rsid w:val="008C345F"/>
    <w:rsid w:val="008C3930"/>
    <w:rsid w:val="008C40CC"/>
    <w:rsid w:val="008D23D6"/>
    <w:rsid w:val="008D3E0F"/>
    <w:rsid w:val="008D3E46"/>
    <w:rsid w:val="008D437C"/>
    <w:rsid w:val="008D4908"/>
    <w:rsid w:val="008D52C6"/>
    <w:rsid w:val="008D6243"/>
    <w:rsid w:val="008D677A"/>
    <w:rsid w:val="008D7805"/>
    <w:rsid w:val="008E0892"/>
    <w:rsid w:val="008E3641"/>
    <w:rsid w:val="008F0008"/>
    <w:rsid w:val="008F14D9"/>
    <w:rsid w:val="008F211C"/>
    <w:rsid w:val="008F2E24"/>
    <w:rsid w:val="008F3EEC"/>
    <w:rsid w:val="008F4481"/>
    <w:rsid w:val="008F4AD2"/>
    <w:rsid w:val="008F4E6C"/>
    <w:rsid w:val="009020FC"/>
    <w:rsid w:val="009021D3"/>
    <w:rsid w:val="009030DD"/>
    <w:rsid w:val="0090368C"/>
    <w:rsid w:val="00904933"/>
    <w:rsid w:val="00904A5C"/>
    <w:rsid w:val="00905A67"/>
    <w:rsid w:val="0090696C"/>
    <w:rsid w:val="00907433"/>
    <w:rsid w:val="00910FBD"/>
    <w:rsid w:val="009179DA"/>
    <w:rsid w:val="00920716"/>
    <w:rsid w:val="00923B5A"/>
    <w:rsid w:val="00923E89"/>
    <w:rsid w:val="00924C75"/>
    <w:rsid w:val="0093561C"/>
    <w:rsid w:val="00935FA5"/>
    <w:rsid w:val="009400D9"/>
    <w:rsid w:val="00940AAD"/>
    <w:rsid w:val="00941763"/>
    <w:rsid w:val="009419AA"/>
    <w:rsid w:val="00942C6F"/>
    <w:rsid w:val="0094334F"/>
    <w:rsid w:val="009438DD"/>
    <w:rsid w:val="00944632"/>
    <w:rsid w:val="009448D9"/>
    <w:rsid w:val="009452BE"/>
    <w:rsid w:val="0094657A"/>
    <w:rsid w:val="0094668E"/>
    <w:rsid w:val="0094683E"/>
    <w:rsid w:val="00947F15"/>
    <w:rsid w:val="009519FC"/>
    <w:rsid w:val="00952D4C"/>
    <w:rsid w:val="00952E49"/>
    <w:rsid w:val="00952F46"/>
    <w:rsid w:val="00952FDE"/>
    <w:rsid w:val="00954308"/>
    <w:rsid w:val="0095583E"/>
    <w:rsid w:val="00957332"/>
    <w:rsid w:val="0096044D"/>
    <w:rsid w:val="009614B6"/>
    <w:rsid w:val="00962611"/>
    <w:rsid w:val="009627F7"/>
    <w:rsid w:val="00962FBE"/>
    <w:rsid w:val="00963692"/>
    <w:rsid w:val="00964575"/>
    <w:rsid w:val="00964D9A"/>
    <w:rsid w:val="00966085"/>
    <w:rsid w:val="009704F8"/>
    <w:rsid w:val="009709E2"/>
    <w:rsid w:val="00970C1F"/>
    <w:rsid w:val="00971583"/>
    <w:rsid w:val="00975A58"/>
    <w:rsid w:val="00975DF6"/>
    <w:rsid w:val="00976213"/>
    <w:rsid w:val="00976E3E"/>
    <w:rsid w:val="00977451"/>
    <w:rsid w:val="00981F05"/>
    <w:rsid w:val="009833A9"/>
    <w:rsid w:val="009839B4"/>
    <w:rsid w:val="009844F3"/>
    <w:rsid w:val="00990097"/>
    <w:rsid w:val="00990FDB"/>
    <w:rsid w:val="00991DEB"/>
    <w:rsid w:val="009921F7"/>
    <w:rsid w:val="009935B0"/>
    <w:rsid w:val="00993D72"/>
    <w:rsid w:val="0099471E"/>
    <w:rsid w:val="00996EA3"/>
    <w:rsid w:val="009972F1"/>
    <w:rsid w:val="00997FE1"/>
    <w:rsid w:val="009A1B46"/>
    <w:rsid w:val="009A1D97"/>
    <w:rsid w:val="009A340C"/>
    <w:rsid w:val="009A5377"/>
    <w:rsid w:val="009A5CA3"/>
    <w:rsid w:val="009A64A7"/>
    <w:rsid w:val="009B637D"/>
    <w:rsid w:val="009C09C9"/>
    <w:rsid w:val="009C0CF9"/>
    <w:rsid w:val="009C3D7C"/>
    <w:rsid w:val="009C72B4"/>
    <w:rsid w:val="009C76F3"/>
    <w:rsid w:val="009D1D94"/>
    <w:rsid w:val="009D36EE"/>
    <w:rsid w:val="009D66CC"/>
    <w:rsid w:val="009D7522"/>
    <w:rsid w:val="009D7592"/>
    <w:rsid w:val="009E13E8"/>
    <w:rsid w:val="009E1EB7"/>
    <w:rsid w:val="009E6574"/>
    <w:rsid w:val="009E794D"/>
    <w:rsid w:val="009E7F2D"/>
    <w:rsid w:val="009F0A14"/>
    <w:rsid w:val="009F2373"/>
    <w:rsid w:val="009F3338"/>
    <w:rsid w:val="009F3771"/>
    <w:rsid w:val="009F3BBA"/>
    <w:rsid w:val="009F507E"/>
    <w:rsid w:val="009F5F71"/>
    <w:rsid w:val="009F6E0D"/>
    <w:rsid w:val="00A00AB6"/>
    <w:rsid w:val="00A00C63"/>
    <w:rsid w:val="00A00FA3"/>
    <w:rsid w:val="00A012A6"/>
    <w:rsid w:val="00A03BEA"/>
    <w:rsid w:val="00A05118"/>
    <w:rsid w:val="00A07DAE"/>
    <w:rsid w:val="00A07F3F"/>
    <w:rsid w:val="00A1017F"/>
    <w:rsid w:val="00A10E13"/>
    <w:rsid w:val="00A10E47"/>
    <w:rsid w:val="00A110D0"/>
    <w:rsid w:val="00A11EE9"/>
    <w:rsid w:val="00A12520"/>
    <w:rsid w:val="00A1281E"/>
    <w:rsid w:val="00A12882"/>
    <w:rsid w:val="00A131DC"/>
    <w:rsid w:val="00A13212"/>
    <w:rsid w:val="00A14088"/>
    <w:rsid w:val="00A20AF0"/>
    <w:rsid w:val="00A225E9"/>
    <w:rsid w:val="00A2513E"/>
    <w:rsid w:val="00A25276"/>
    <w:rsid w:val="00A26316"/>
    <w:rsid w:val="00A2660B"/>
    <w:rsid w:val="00A276FB"/>
    <w:rsid w:val="00A308ED"/>
    <w:rsid w:val="00A311A7"/>
    <w:rsid w:val="00A31DB2"/>
    <w:rsid w:val="00A32660"/>
    <w:rsid w:val="00A35BD3"/>
    <w:rsid w:val="00A377F0"/>
    <w:rsid w:val="00A378B9"/>
    <w:rsid w:val="00A43CF8"/>
    <w:rsid w:val="00A44B0E"/>
    <w:rsid w:val="00A45EFF"/>
    <w:rsid w:val="00A465D1"/>
    <w:rsid w:val="00A46DCB"/>
    <w:rsid w:val="00A473C5"/>
    <w:rsid w:val="00A505A7"/>
    <w:rsid w:val="00A52262"/>
    <w:rsid w:val="00A524F4"/>
    <w:rsid w:val="00A52AF7"/>
    <w:rsid w:val="00A5360C"/>
    <w:rsid w:val="00A55D42"/>
    <w:rsid w:val="00A5759F"/>
    <w:rsid w:val="00A61861"/>
    <w:rsid w:val="00A63D76"/>
    <w:rsid w:val="00A6694D"/>
    <w:rsid w:val="00A672E4"/>
    <w:rsid w:val="00A676D9"/>
    <w:rsid w:val="00A72696"/>
    <w:rsid w:val="00A72D97"/>
    <w:rsid w:val="00A740B8"/>
    <w:rsid w:val="00A76324"/>
    <w:rsid w:val="00A76A0D"/>
    <w:rsid w:val="00A80944"/>
    <w:rsid w:val="00A86114"/>
    <w:rsid w:val="00A92BC1"/>
    <w:rsid w:val="00A9314B"/>
    <w:rsid w:val="00A93231"/>
    <w:rsid w:val="00A954F9"/>
    <w:rsid w:val="00AA0E9F"/>
    <w:rsid w:val="00AA129F"/>
    <w:rsid w:val="00AA1DBA"/>
    <w:rsid w:val="00AA2880"/>
    <w:rsid w:val="00AA35CF"/>
    <w:rsid w:val="00AA5419"/>
    <w:rsid w:val="00AA59F0"/>
    <w:rsid w:val="00AA5A0D"/>
    <w:rsid w:val="00AA6822"/>
    <w:rsid w:val="00AA7323"/>
    <w:rsid w:val="00AB06BC"/>
    <w:rsid w:val="00AB328C"/>
    <w:rsid w:val="00AB37F1"/>
    <w:rsid w:val="00AB4F03"/>
    <w:rsid w:val="00AB7332"/>
    <w:rsid w:val="00AB763C"/>
    <w:rsid w:val="00AC04D0"/>
    <w:rsid w:val="00AC1C0D"/>
    <w:rsid w:val="00AC3954"/>
    <w:rsid w:val="00AC6CA5"/>
    <w:rsid w:val="00AC714D"/>
    <w:rsid w:val="00AD1926"/>
    <w:rsid w:val="00AD2F17"/>
    <w:rsid w:val="00AD3E10"/>
    <w:rsid w:val="00AD3E5F"/>
    <w:rsid w:val="00AD56BC"/>
    <w:rsid w:val="00AE0818"/>
    <w:rsid w:val="00AE139A"/>
    <w:rsid w:val="00AE13DC"/>
    <w:rsid w:val="00AE58C5"/>
    <w:rsid w:val="00AE670C"/>
    <w:rsid w:val="00AE7F6D"/>
    <w:rsid w:val="00AF03FB"/>
    <w:rsid w:val="00AF09FF"/>
    <w:rsid w:val="00AF2053"/>
    <w:rsid w:val="00AF54B5"/>
    <w:rsid w:val="00AF7279"/>
    <w:rsid w:val="00B02B8B"/>
    <w:rsid w:val="00B02BC2"/>
    <w:rsid w:val="00B02E50"/>
    <w:rsid w:val="00B04DD1"/>
    <w:rsid w:val="00B0783C"/>
    <w:rsid w:val="00B07ECD"/>
    <w:rsid w:val="00B1086F"/>
    <w:rsid w:val="00B10904"/>
    <w:rsid w:val="00B147F7"/>
    <w:rsid w:val="00B14E46"/>
    <w:rsid w:val="00B155C1"/>
    <w:rsid w:val="00B15D5B"/>
    <w:rsid w:val="00B16A5A"/>
    <w:rsid w:val="00B16B1F"/>
    <w:rsid w:val="00B21889"/>
    <w:rsid w:val="00B260D3"/>
    <w:rsid w:val="00B315B7"/>
    <w:rsid w:val="00B32A3C"/>
    <w:rsid w:val="00B33BA4"/>
    <w:rsid w:val="00B37ACB"/>
    <w:rsid w:val="00B40627"/>
    <w:rsid w:val="00B4110B"/>
    <w:rsid w:val="00B417A3"/>
    <w:rsid w:val="00B43223"/>
    <w:rsid w:val="00B43DA6"/>
    <w:rsid w:val="00B44CA4"/>
    <w:rsid w:val="00B46A64"/>
    <w:rsid w:val="00B4768E"/>
    <w:rsid w:val="00B5024E"/>
    <w:rsid w:val="00B550B5"/>
    <w:rsid w:val="00B55732"/>
    <w:rsid w:val="00B55C9C"/>
    <w:rsid w:val="00B56410"/>
    <w:rsid w:val="00B57568"/>
    <w:rsid w:val="00B64FD6"/>
    <w:rsid w:val="00B66305"/>
    <w:rsid w:val="00B6662E"/>
    <w:rsid w:val="00B751C9"/>
    <w:rsid w:val="00B75C63"/>
    <w:rsid w:val="00B75D05"/>
    <w:rsid w:val="00B75D77"/>
    <w:rsid w:val="00B768C2"/>
    <w:rsid w:val="00B775D2"/>
    <w:rsid w:val="00B8045E"/>
    <w:rsid w:val="00B807A0"/>
    <w:rsid w:val="00B82100"/>
    <w:rsid w:val="00B83F78"/>
    <w:rsid w:val="00B85994"/>
    <w:rsid w:val="00B91656"/>
    <w:rsid w:val="00B91C64"/>
    <w:rsid w:val="00B93195"/>
    <w:rsid w:val="00B931EE"/>
    <w:rsid w:val="00B944D9"/>
    <w:rsid w:val="00B9665A"/>
    <w:rsid w:val="00B97CDB"/>
    <w:rsid w:val="00BA202B"/>
    <w:rsid w:val="00BA3109"/>
    <w:rsid w:val="00BB0F23"/>
    <w:rsid w:val="00BB0FEB"/>
    <w:rsid w:val="00BB4D40"/>
    <w:rsid w:val="00BB5147"/>
    <w:rsid w:val="00BB5DD0"/>
    <w:rsid w:val="00BB7AA2"/>
    <w:rsid w:val="00BC073C"/>
    <w:rsid w:val="00BC1832"/>
    <w:rsid w:val="00BC1D6A"/>
    <w:rsid w:val="00BC2FAE"/>
    <w:rsid w:val="00BC3DB9"/>
    <w:rsid w:val="00BC44D0"/>
    <w:rsid w:val="00BC6294"/>
    <w:rsid w:val="00BC7AB2"/>
    <w:rsid w:val="00BD0CBE"/>
    <w:rsid w:val="00BD16CA"/>
    <w:rsid w:val="00BD1A00"/>
    <w:rsid w:val="00BD1EF5"/>
    <w:rsid w:val="00BD262C"/>
    <w:rsid w:val="00BD6939"/>
    <w:rsid w:val="00BE1D70"/>
    <w:rsid w:val="00BE5264"/>
    <w:rsid w:val="00BE6109"/>
    <w:rsid w:val="00BF04C1"/>
    <w:rsid w:val="00BF2A1F"/>
    <w:rsid w:val="00BF3B03"/>
    <w:rsid w:val="00BF41C9"/>
    <w:rsid w:val="00BF4EFD"/>
    <w:rsid w:val="00BF54E1"/>
    <w:rsid w:val="00BF6F66"/>
    <w:rsid w:val="00C0242F"/>
    <w:rsid w:val="00C030FF"/>
    <w:rsid w:val="00C03E6C"/>
    <w:rsid w:val="00C03EDB"/>
    <w:rsid w:val="00C04044"/>
    <w:rsid w:val="00C065AB"/>
    <w:rsid w:val="00C06839"/>
    <w:rsid w:val="00C06DF2"/>
    <w:rsid w:val="00C07501"/>
    <w:rsid w:val="00C07767"/>
    <w:rsid w:val="00C11950"/>
    <w:rsid w:val="00C1629C"/>
    <w:rsid w:val="00C16872"/>
    <w:rsid w:val="00C17BFC"/>
    <w:rsid w:val="00C21EEA"/>
    <w:rsid w:val="00C22AE6"/>
    <w:rsid w:val="00C23BE2"/>
    <w:rsid w:val="00C24996"/>
    <w:rsid w:val="00C30229"/>
    <w:rsid w:val="00C30F77"/>
    <w:rsid w:val="00C3190F"/>
    <w:rsid w:val="00C31FC1"/>
    <w:rsid w:val="00C3202E"/>
    <w:rsid w:val="00C341E1"/>
    <w:rsid w:val="00C35318"/>
    <w:rsid w:val="00C37291"/>
    <w:rsid w:val="00C37610"/>
    <w:rsid w:val="00C379AA"/>
    <w:rsid w:val="00C407EE"/>
    <w:rsid w:val="00C410AA"/>
    <w:rsid w:val="00C4157A"/>
    <w:rsid w:val="00C419AF"/>
    <w:rsid w:val="00C42252"/>
    <w:rsid w:val="00C42D3C"/>
    <w:rsid w:val="00C44751"/>
    <w:rsid w:val="00C4494C"/>
    <w:rsid w:val="00C50BF0"/>
    <w:rsid w:val="00C50FCE"/>
    <w:rsid w:val="00C53BAD"/>
    <w:rsid w:val="00C54302"/>
    <w:rsid w:val="00C546A0"/>
    <w:rsid w:val="00C54CE8"/>
    <w:rsid w:val="00C55FBA"/>
    <w:rsid w:val="00C60883"/>
    <w:rsid w:val="00C609D2"/>
    <w:rsid w:val="00C6373C"/>
    <w:rsid w:val="00C674B2"/>
    <w:rsid w:val="00C6766C"/>
    <w:rsid w:val="00C70131"/>
    <w:rsid w:val="00C72CDF"/>
    <w:rsid w:val="00C7437A"/>
    <w:rsid w:val="00C7579A"/>
    <w:rsid w:val="00C75DAE"/>
    <w:rsid w:val="00C77CE0"/>
    <w:rsid w:val="00C77E76"/>
    <w:rsid w:val="00C80965"/>
    <w:rsid w:val="00C830A2"/>
    <w:rsid w:val="00C84D2B"/>
    <w:rsid w:val="00C862CF"/>
    <w:rsid w:val="00C864A2"/>
    <w:rsid w:val="00C90581"/>
    <w:rsid w:val="00C91016"/>
    <w:rsid w:val="00C96480"/>
    <w:rsid w:val="00C9711D"/>
    <w:rsid w:val="00CA0BB8"/>
    <w:rsid w:val="00CA297C"/>
    <w:rsid w:val="00CA4965"/>
    <w:rsid w:val="00CA4C78"/>
    <w:rsid w:val="00CA4F54"/>
    <w:rsid w:val="00CA5815"/>
    <w:rsid w:val="00CA58D3"/>
    <w:rsid w:val="00CA60CA"/>
    <w:rsid w:val="00CB0724"/>
    <w:rsid w:val="00CB3CB6"/>
    <w:rsid w:val="00CB4E19"/>
    <w:rsid w:val="00CB598B"/>
    <w:rsid w:val="00CB7915"/>
    <w:rsid w:val="00CC0327"/>
    <w:rsid w:val="00CC126B"/>
    <w:rsid w:val="00CC2ED6"/>
    <w:rsid w:val="00CC4BD3"/>
    <w:rsid w:val="00CC5A20"/>
    <w:rsid w:val="00CC663C"/>
    <w:rsid w:val="00CC67BB"/>
    <w:rsid w:val="00CC6F38"/>
    <w:rsid w:val="00CC7EC0"/>
    <w:rsid w:val="00CC7FD8"/>
    <w:rsid w:val="00CD2D0E"/>
    <w:rsid w:val="00CD523E"/>
    <w:rsid w:val="00CD55E7"/>
    <w:rsid w:val="00CD5F17"/>
    <w:rsid w:val="00CD794D"/>
    <w:rsid w:val="00CE398C"/>
    <w:rsid w:val="00CE4CC8"/>
    <w:rsid w:val="00CE74E3"/>
    <w:rsid w:val="00CF043D"/>
    <w:rsid w:val="00CF4802"/>
    <w:rsid w:val="00D00D31"/>
    <w:rsid w:val="00D00D6D"/>
    <w:rsid w:val="00D02385"/>
    <w:rsid w:val="00D03DDE"/>
    <w:rsid w:val="00D0681A"/>
    <w:rsid w:val="00D068CF"/>
    <w:rsid w:val="00D074C9"/>
    <w:rsid w:val="00D07BD7"/>
    <w:rsid w:val="00D116AC"/>
    <w:rsid w:val="00D11A1C"/>
    <w:rsid w:val="00D125C6"/>
    <w:rsid w:val="00D13265"/>
    <w:rsid w:val="00D15358"/>
    <w:rsid w:val="00D15C85"/>
    <w:rsid w:val="00D15C93"/>
    <w:rsid w:val="00D216D9"/>
    <w:rsid w:val="00D21C00"/>
    <w:rsid w:val="00D22640"/>
    <w:rsid w:val="00D23072"/>
    <w:rsid w:val="00D23A6A"/>
    <w:rsid w:val="00D24808"/>
    <w:rsid w:val="00D2564C"/>
    <w:rsid w:val="00D319CF"/>
    <w:rsid w:val="00D32388"/>
    <w:rsid w:val="00D336F3"/>
    <w:rsid w:val="00D3430C"/>
    <w:rsid w:val="00D3624B"/>
    <w:rsid w:val="00D37269"/>
    <w:rsid w:val="00D46AAF"/>
    <w:rsid w:val="00D47286"/>
    <w:rsid w:val="00D528BA"/>
    <w:rsid w:val="00D55564"/>
    <w:rsid w:val="00D5596E"/>
    <w:rsid w:val="00D576DD"/>
    <w:rsid w:val="00D57ABE"/>
    <w:rsid w:val="00D60A31"/>
    <w:rsid w:val="00D627D5"/>
    <w:rsid w:val="00D632DF"/>
    <w:rsid w:val="00D6428E"/>
    <w:rsid w:val="00D64A76"/>
    <w:rsid w:val="00D65544"/>
    <w:rsid w:val="00D664AA"/>
    <w:rsid w:val="00D66D57"/>
    <w:rsid w:val="00D678F5"/>
    <w:rsid w:val="00D67FC4"/>
    <w:rsid w:val="00D71723"/>
    <w:rsid w:val="00D720E4"/>
    <w:rsid w:val="00D7464C"/>
    <w:rsid w:val="00D76C4D"/>
    <w:rsid w:val="00D815D9"/>
    <w:rsid w:val="00D82B59"/>
    <w:rsid w:val="00D84C0E"/>
    <w:rsid w:val="00D84F95"/>
    <w:rsid w:val="00D86ECC"/>
    <w:rsid w:val="00D87423"/>
    <w:rsid w:val="00D8774F"/>
    <w:rsid w:val="00D903E9"/>
    <w:rsid w:val="00D92872"/>
    <w:rsid w:val="00D9401F"/>
    <w:rsid w:val="00D96461"/>
    <w:rsid w:val="00D9791C"/>
    <w:rsid w:val="00DA205F"/>
    <w:rsid w:val="00DA57FD"/>
    <w:rsid w:val="00DA5C0E"/>
    <w:rsid w:val="00DA6AE6"/>
    <w:rsid w:val="00DA7044"/>
    <w:rsid w:val="00DB2294"/>
    <w:rsid w:val="00DB269C"/>
    <w:rsid w:val="00DB46B6"/>
    <w:rsid w:val="00DB5C4F"/>
    <w:rsid w:val="00DB603E"/>
    <w:rsid w:val="00DC1F94"/>
    <w:rsid w:val="00DC2899"/>
    <w:rsid w:val="00DC2AED"/>
    <w:rsid w:val="00DC35F0"/>
    <w:rsid w:val="00DC3F7F"/>
    <w:rsid w:val="00DC4AE8"/>
    <w:rsid w:val="00DC4EB4"/>
    <w:rsid w:val="00DC6DD1"/>
    <w:rsid w:val="00DC74D3"/>
    <w:rsid w:val="00DC7920"/>
    <w:rsid w:val="00DD1C9E"/>
    <w:rsid w:val="00DD23BB"/>
    <w:rsid w:val="00DD25EC"/>
    <w:rsid w:val="00DD50DD"/>
    <w:rsid w:val="00DD5275"/>
    <w:rsid w:val="00DD6893"/>
    <w:rsid w:val="00DE181F"/>
    <w:rsid w:val="00DE4613"/>
    <w:rsid w:val="00DE462B"/>
    <w:rsid w:val="00DE4D94"/>
    <w:rsid w:val="00DE5B8E"/>
    <w:rsid w:val="00DE5D5C"/>
    <w:rsid w:val="00DE5F35"/>
    <w:rsid w:val="00DE7465"/>
    <w:rsid w:val="00DE77EA"/>
    <w:rsid w:val="00DF043C"/>
    <w:rsid w:val="00DF1142"/>
    <w:rsid w:val="00DF4F53"/>
    <w:rsid w:val="00DF615C"/>
    <w:rsid w:val="00E0106C"/>
    <w:rsid w:val="00E04BA4"/>
    <w:rsid w:val="00E05695"/>
    <w:rsid w:val="00E0689D"/>
    <w:rsid w:val="00E06E72"/>
    <w:rsid w:val="00E078AB"/>
    <w:rsid w:val="00E11021"/>
    <w:rsid w:val="00E13247"/>
    <w:rsid w:val="00E13C54"/>
    <w:rsid w:val="00E161DC"/>
    <w:rsid w:val="00E16D56"/>
    <w:rsid w:val="00E2145C"/>
    <w:rsid w:val="00E22642"/>
    <w:rsid w:val="00E2302C"/>
    <w:rsid w:val="00E23069"/>
    <w:rsid w:val="00E27288"/>
    <w:rsid w:val="00E318A9"/>
    <w:rsid w:val="00E3319E"/>
    <w:rsid w:val="00E362B4"/>
    <w:rsid w:val="00E44A5C"/>
    <w:rsid w:val="00E4568A"/>
    <w:rsid w:val="00E47DED"/>
    <w:rsid w:val="00E50A7E"/>
    <w:rsid w:val="00E518D5"/>
    <w:rsid w:val="00E519A7"/>
    <w:rsid w:val="00E52001"/>
    <w:rsid w:val="00E534A4"/>
    <w:rsid w:val="00E5711D"/>
    <w:rsid w:val="00E608D4"/>
    <w:rsid w:val="00E61D93"/>
    <w:rsid w:val="00E6350E"/>
    <w:rsid w:val="00E63EA4"/>
    <w:rsid w:val="00E71CBE"/>
    <w:rsid w:val="00E74C8B"/>
    <w:rsid w:val="00E75547"/>
    <w:rsid w:val="00E803D7"/>
    <w:rsid w:val="00E82FA4"/>
    <w:rsid w:val="00E83BD7"/>
    <w:rsid w:val="00E86C65"/>
    <w:rsid w:val="00E87391"/>
    <w:rsid w:val="00E90BC5"/>
    <w:rsid w:val="00E94292"/>
    <w:rsid w:val="00E94907"/>
    <w:rsid w:val="00E95023"/>
    <w:rsid w:val="00E9789E"/>
    <w:rsid w:val="00EA218A"/>
    <w:rsid w:val="00EA2639"/>
    <w:rsid w:val="00EA596C"/>
    <w:rsid w:val="00EA7C15"/>
    <w:rsid w:val="00EB1039"/>
    <w:rsid w:val="00EB551F"/>
    <w:rsid w:val="00EB66A5"/>
    <w:rsid w:val="00EB67C1"/>
    <w:rsid w:val="00EC0251"/>
    <w:rsid w:val="00ED1ADA"/>
    <w:rsid w:val="00ED3594"/>
    <w:rsid w:val="00ED364D"/>
    <w:rsid w:val="00ED41BC"/>
    <w:rsid w:val="00ED4DFA"/>
    <w:rsid w:val="00ED6635"/>
    <w:rsid w:val="00ED72E4"/>
    <w:rsid w:val="00ED7D17"/>
    <w:rsid w:val="00EE0434"/>
    <w:rsid w:val="00EE0B30"/>
    <w:rsid w:val="00EE1717"/>
    <w:rsid w:val="00EE2864"/>
    <w:rsid w:val="00EE3190"/>
    <w:rsid w:val="00EE320E"/>
    <w:rsid w:val="00EE3E31"/>
    <w:rsid w:val="00EE3FCD"/>
    <w:rsid w:val="00EE625C"/>
    <w:rsid w:val="00EE772D"/>
    <w:rsid w:val="00EF3412"/>
    <w:rsid w:val="00EF348C"/>
    <w:rsid w:val="00EF59D4"/>
    <w:rsid w:val="00EF5C70"/>
    <w:rsid w:val="00F00157"/>
    <w:rsid w:val="00F00C98"/>
    <w:rsid w:val="00F01688"/>
    <w:rsid w:val="00F01749"/>
    <w:rsid w:val="00F024B7"/>
    <w:rsid w:val="00F028F5"/>
    <w:rsid w:val="00F031EB"/>
    <w:rsid w:val="00F03213"/>
    <w:rsid w:val="00F03435"/>
    <w:rsid w:val="00F04D64"/>
    <w:rsid w:val="00F0637B"/>
    <w:rsid w:val="00F06518"/>
    <w:rsid w:val="00F073E6"/>
    <w:rsid w:val="00F122E1"/>
    <w:rsid w:val="00F14191"/>
    <w:rsid w:val="00F15570"/>
    <w:rsid w:val="00F15C6F"/>
    <w:rsid w:val="00F20AFE"/>
    <w:rsid w:val="00F211C2"/>
    <w:rsid w:val="00F21C55"/>
    <w:rsid w:val="00F23D92"/>
    <w:rsid w:val="00F26A71"/>
    <w:rsid w:val="00F338EE"/>
    <w:rsid w:val="00F35434"/>
    <w:rsid w:val="00F36F2E"/>
    <w:rsid w:val="00F37AFC"/>
    <w:rsid w:val="00F37DAA"/>
    <w:rsid w:val="00F445B3"/>
    <w:rsid w:val="00F45777"/>
    <w:rsid w:val="00F45C6C"/>
    <w:rsid w:val="00F476B4"/>
    <w:rsid w:val="00F51E7B"/>
    <w:rsid w:val="00F52314"/>
    <w:rsid w:val="00F53FDF"/>
    <w:rsid w:val="00F55ED3"/>
    <w:rsid w:val="00F56BDE"/>
    <w:rsid w:val="00F62E10"/>
    <w:rsid w:val="00F637DC"/>
    <w:rsid w:val="00F64345"/>
    <w:rsid w:val="00F65BC3"/>
    <w:rsid w:val="00F67328"/>
    <w:rsid w:val="00F71E4C"/>
    <w:rsid w:val="00F7406E"/>
    <w:rsid w:val="00F80834"/>
    <w:rsid w:val="00F8093A"/>
    <w:rsid w:val="00F847AF"/>
    <w:rsid w:val="00F84FB4"/>
    <w:rsid w:val="00F90CE0"/>
    <w:rsid w:val="00F929B2"/>
    <w:rsid w:val="00F92E49"/>
    <w:rsid w:val="00F9336E"/>
    <w:rsid w:val="00FA332A"/>
    <w:rsid w:val="00FA7310"/>
    <w:rsid w:val="00FB0ED1"/>
    <w:rsid w:val="00FB18E2"/>
    <w:rsid w:val="00FB2BA8"/>
    <w:rsid w:val="00FC143D"/>
    <w:rsid w:val="00FD02B3"/>
    <w:rsid w:val="00FD1DD4"/>
    <w:rsid w:val="00FD2170"/>
    <w:rsid w:val="00FD40E2"/>
    <w:rsid w:val="00FD4218"/>
    <w:rsid w:val="00FE24B8"/>
    <w:rsid w:val="00FE44F5"/>
    <w:rsid w:val="00FE52B0"/>
    <w:rsid w:val="00FF13BF"/>
    <w:rsid w:val="00FF16C2"/>
    <w:rsid w:val="00FF1DC7"/>
    <w:rsid w:val="00FF3207"/>
    <w:rsid w:val="00FF46BE"/>
    <w:rsid w:val="00FF76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hone"/>
  <w:smartTagType w:namespaceuri="urn:schemas-microsoft-com:office:smarttags" w:name="stockticker"/>
  <w:shapeDefaults>
    <o:shapedefaults v:ext="edit" spidmax="22529"/>
    <o:shapelayout v:ext="edit">
      <o:idmap v:ext="edit" data="1"/>
    </o:shapelayout>
  </w:shapeDefaults>
  <w:decimalSymbol w:val="."/>
  <w:listSeparator w:val=","/>
  <w14:docId w14:val="311856AA"/>
  <w15:docId w15:val="{84901924-43E8-4E54-91AA-70A873A4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481"/>
    <w:pPr>
      <w:spacing w:after="160" w:line="259" w:lineRule="auto"/>
    </w:pPr>
    <w:rPr>
      <w:rFonts w:eastAsiaTheme="minorHAnsi" w:cstheme="minorBidi"/>
      <w:sz w:val="24"/>
      <w:szCs w:val="22"/>
      <w:lang w:val="en-US" w:eastAsia="en-US"/>
    </w:rPr>
  </w:style>
  <w:style w:type="paragraph" w:styleId="Heading1">
    <w:name w:val="heading 1"/>
    <w:basedOn w:val="Normal"/>
    <w:next w:val="Normal"/>
    <w:link w:val="Heading1Char"/>
    <w:qFormat/>
    <w:rsid w:val="00A2513E"/>
    <w:pPr>
      <w:numPr>
        <w:numId w:val="1"/>
      </w:numPr>
      <w:spacing w:before="480" w:after="240"/>
      <w:outlineLvl w:val="0"/>
    </w:pPr>
    <w:rPr>
      <w:b/>
      <w:caps/>
    </w:rPr>
  </w:style>
  <w:style w:type="paragraph" w:styleId="Heading2">
    <w:name w:val="heading 2"/>
    <w:basedOn w:val="Normal"/>
    <w:next w:val="Normal"/>
    <w:link w:val="Heading2Char"/>
    <w:qFormat/>
    <w:rsid w:val="00A2513E"/>
    <w:pPr>
      <w:numPr>
        <w:ilvl w:val="1"/>
        <w:numId w:val="1"/>
      </w:numPr>
      <w:spacing w:before="120"/>
      <w:outlineLvl w:val="1"/>
    </w:pPr>
    <w:rPr>
      <w:b/>
    </w:rPr>
  </w:style>
  <w:style w:type="paragraph" w:styleId="Heading3">
    <w:name w:val="heading 3"/>
    <w:basedOn w:val="Heading2"/>
    <w:next w:val="Normal"/>
    <w:link w:val="Heading3Char"/>
    <w:qFormat/>
    <w:rsid w:val="00A2513E"/>
    <w:pPr>
      <w:numPr>
        <w:ilvl w:val="2"/>
      </w:numPr>
      <w:outlineLvl w:val="2"/>
    </w:pPr>
    <w:rPr>
      <w:b w:val="0"/>
    </w:rPr>
  </w:style>
  <w:style w:type="paragraph" w:styleId="Heading4">
    <w:name w:val="heading 4"/>
    <w:basedOn w:val="Normal"/>
    <w:next w:val="Normal"/>
    <w:link w:val="Heading4Char"/>
    <w:qFormat/>
    <w:rsid w:val="00A2513E"/>
    <w:pPr>
      <w:numPr>
        <w:ilvl w:val="3"/>
        <w:numId w:val="1"/>
      </w:numPr>
      <w:spacing w:after="240"/>
      <w:outlineLvl w:val="3"/>
    </w:pPr>
  </w:style>
  <w:style w:type="paragraph" w:styleId="Heading5">
    <w:name w:val="heading 5"/>
    <w:basedOn w:val="Heading4"/>
    <w:next w:val="Normal"/>
    <w:link w:val="Heading5Char"/>
    <w:qFormat/>
    <w:rsid w:val="00A2513E"/>
    <w:pPr>
      <w:numPr>
        <w:ilvl w:val="4"/>
      </w:numPr>
      <w:outlineLvl w:val="4"/>
    </w:pPr>
  </w:style>
  <w:style w:type="paragraph" w:styleId="Heading6">
    <w:name w:val="heading 6"/>
    <w:basedOn w:val="Normal"/>
    <w:next w:val="Normal"/>
    <w:link w:val="Heading6Char"/>
    <w:qFormat/>
    <w:rsid w:val="00A2513E"/>
    <w:pPr>
      <w:numPr>
        <w:ilvl w:val="5"/>
        <w:numId w:val="1"/>
      </w:numPr>
      <w:spacing w:before="240" w:after="60"/>
      <w:outlineLvl w:val="5"/>
    </w:pPr>
    <w:rPr>
      <w:i/>
    </w:rPr>
  </w:style>
  <w:style w:type="paragraph" w:styleId="Heading7">
    <w:name w:val="heading 7"/>
    <w:basedOn w:val="Normal"/>
    <w:next w:val="Normal"/>
    <w:link w:val="Heading7Char"/>
    <w:qFormat/>
    <w:rsid w:val="00A2513E"/>
    <w:pPr>
      <w:numPr>
        <w:ilvl w:val="6"/>
        <w:numId w:val="1"/>
      </w:numPr>
      <w:spacing w:before="240" w:after="60"/>
      <w:outlineLvl w:val="6"/>
    </w:pPr>
    <w:rPr>
      <w:sz w:val="20"/>
    </w:rPr>
  </w:style>
  <w:style w:type="paragraph" w:styleId="Heading8">
    <w:name w:val="heading 8"/>
    <w:basedOn w:val="Normal"/>
    <w:next w:val="Normal"/>
    <w:link w:val="Heading8Char"/>
    <w:qFormat/>
    <w:rsid w:val="00A2513E"/>
    <w:pPr>
      <w:numPr>
        <w:ilvl w:val="7"/>
        <w:numId w:val="1"/>
      </w:numPr>
      <w:spacing w:before="240" w:after="60"/>
      <w:outlineLvl w:val="7"/>
    </w:pPr>
    <w:rPr>
      <w:i/>
      <w:sz w:val="20"/>
    </w:rPr>
  </w:style>
  <w:style w:type="paragraph" w:styleId="Heading9">
    <w:name w:val="heading 9"/>
    <w:basedOn w:val="Normal"/>
    <w:next w:val="Normal"/>
    <w:link w:val="Heading9Char"/>
    <w:qFormat/>
    <w:rsid w:val="00A2513E"/>
    <w:pPr>
      <w:numPr>
        <w:ilvl w:val="8"/>
        <w:numId w:val="1"/>
      </w:numPr>
      <w:spacing w:before="240" w:after="60"/>
      <w:outlineLvl w:val="8"/>
    </w:pPr>
    <w:rPr>
      <w:i/>
      <w:sz w:val="18"/>
    </w:rPr>
  </w:style>
  <w:style w:type="character" w:default="1" w:styleId="DefaultParagraphFont">
    <w:name w:val="Default Paragraph Font"/>
    <w:uiPriority w:val="1"/>
    <w:semiHidden/>
    <w:unhideWhenUsed/>
    <w:rsid w:val="008F44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4481"/>
  </w:style>
  <w:style w:type="character" w:styleId="FootnoteReference">
    <w:name w:val="footnote reference"/>
    <w:basedOn w:val="DefaultParagraphFont"/>
    <w:semiHidden/>
  </w:style>
  <w:style w:type="paragraph" w:styleId="Footer">
    <w:name w:val="footer"/>
    <w:basedOn w:val="Normal"/>
    <w:rsid w:val="00C379AA"/>
    <w:pPr>
      <w:tabs>
        <w:tab w:val="center" w:pos="4320"/>
        <w:tab w:val="right" w:pos="8640"/>
      </w:tabs>
    </w:pPr>
  </w:style>
  <w:style w:type="paragraph" w:styleId="Header">
    <w:name w:val="header"/>
    <w:basedOn w:val="Normal"/>
    <w:rsid w:val="00C379AA"/>
    <w:pPr>
      <w:tabs>
        <w:tab w:val="center" w:pos="4320"/>
        <w:tab w:val="right" w:pos="8640"/>
      </w:tabs>
    </w:pPr>
  </w:style>
  <w:style w:type="paragraph" w:customStyle="1" w:styleId="Indent2">
    <w:name w:val="Indent 2"/>
    <w:basedOn w:val="Normal"/>
    <w:link w:val="Indent2Char"/>
    <w:rsid w:val="00BC3DB9"/>
    <w:pPr>
      <w:spacing w:before="120"/>
      <w:ind w:left="720"/>
    </w:pPr>
  </w:style>
  <w:style w:type="paragraph" w:customStyle="1" w:styleId="Indent3">
    <w:name w:val="Indent 3"/>
    <w:basedOn w:val="Indent2"/>
    <w:rsid w:val="007501F2"/>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Bullet2">
    <w:name w:val="List Bullet 2"/>
    <w:basedOn w:val="Normal"/>
    <w:pPr>
      <w:ind w:left="720" w:hanging="360"/>
    </w:pPr>
  </w:style>
  <w:style w:type="paragraph" w:styleId="ListBullet3">
    <w:name w:val="List Bullet 3"/>
    <w:basedOn w:val="Normal"/>
    <w:pPr>
      <w:ind w:left="1080" w:hanging="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link w:val="BodyTextChar"/>
  </w:style>
  <w:style w:type="paragraph" w:styleId="BodyText2">
    <w:name w:val="Body Text 2"/>
    <w:basedOn w:val="Normal"/>
    <w:pPr>
      <w:ind w:left="360"/>
    </w:pPr>
  </w:style>
  <w:style w:type="paragraph" w:styleId="BodyText3">
    <w:name w:val="Body Text 3"/>
    <w:basedOn w:val="BodyText2"/>
  </w:style>
  <w:style w:type="paragraph" w:customStyle="1" w:styleId="BodyText4">
    <w:name w:val="Body Text 4"/>
    <w:basedOn w:val="BodyText2"/>
  </w:style>
  <w:style w:type="paragraph" w:customStyle="1" w:styleId="BodyText5">
    <w:name w:val="Body Text 5"/>
    <w:basedOn w:val="BodyText2"/>
  </w:style>
  <w:style w:type="paragraph" w:styleId="DocumentMap">
    <w:name w:val="Document Map"/>
    <w:basedOn w:val="Normal"/>
    <w:semiHidden/>
    <w:pPr>
      <w:shd w:val="clear" w:color="auto" w:fill="000080"/>
    </w:pPr>
    <w:rPr>
      <w:rFonts w:ascii="Tahoma" w:hAnsi="Tahoma"/>
    </w:rPr>
  </w:style>
  <w:style w:type="paragraph" w:styleId="TOC1">
    <w:name w:val="toc 1"/>
    <w:basedOn w:val="Heading1"/>
    <w:next w:val="Normal"/>
    <w:uiPriority w:val="39"/>
    <w:rsid w:val="00A20AF0"/>
    <w:pPr>
      <w:numPr>
        <w:numId w:val="0"/>
      </w:numPr>
      <w:tabs>
        <w:tab w:val="left" w:pos="576"/>
        <w:tab w:val="right" w:leader="dot" w:pos="9360"/>
      </w:tabs>
      <w:spacing w:before="0" w:after="0"/>
      <w:outlineLvl w:val="9"/>
    </w:pPr>
    <w:rPr>
      <w:b w:val="0"/>
    </w:rPr>
  </w:style>
  <w:style w:type="paragraph" w:styleId="TOC2">
    <w:name w:val="toc 2"/>
    <w:basedOn w:val="TOC1"/>
    <w:next w:val="Normal"/>
    <w:autoRedefine/>
    <w:uiPriority w:val="39"/>
    <w:rsid w:val="00C379AA"/>
    <w:pPr>
      <w:tabs>
        <w:tab w:val="left" w:pos="1440"/>
      </w:tabs>
      <w:ind w:left="576"/>
    </w:pPr>
    <w:rPr>
      <w:caps w:val="0"/>
    </w:rPr>
  </w:style>
  <w:style w:type="paragraph" w:customStyle="1" w:styleId="TitlePage">
    <w:name w:val="Title Page"/>
    <w:basedOn w:val="Normal"/>
    <w:rsid w:val="00C379AA"/>
    <w:pPr>
      <w:jc w:val="center"/>
    </w:pPr>
    <w:rPr>
      <w:b/>
      <w:caps/>
      <w:sz w:val="76"/>
    </w:rPr>
  </w:style>
  <w:style w:type="paragraph" w:styleId="TOC3">
    <w:name w:val="toc 3"/>
    <w:basedOn w:val="TOC2"/>
    <w:next w:val="Normal"/>
    <w:semiHidden/>
    <w:rsid w:val="00C379AA"/>
    <w:pPr>
      <w:tabs>
        <w:tab w:val="left" w:pos="2304"/>
      </w:tabs>
      <w:ind w:left="1440"/>
    </w:pPr>
  </w:style>
  <w:style w:type="paragraph" w:customStyle="1" w:styleId="TOCtitle">
    <w:name w:val="TOC title"/>
    <w:basedOn w:val="Normal"/>
    <w:next w:val="Normal"/>
    <w:rsid w:val="00C379AA"/>
    <w:pPr>
      <w:spacing w:after="360"/>
      <w:jc w:val="center"/>
    </w:pPr>
    <w:rPr>
      <w:b/>
      <w:caps/>
    </w:rPr>
  </w:style>
  <w:style w:type="paragraph" w:customStyle="1" w:styleId="Indent1">
    <w:name w:val="Indent 1"/>
    <w:basedOn w:val="Normal"/>
    <w:rsid w:val="00BC3DB9"/>
    <w:pPr>
      <w:spacing w:before="120"/>
    </w:pPr>
  </w:style>
  <w:style w:type="paragraph" w:customStyle="1" w:styleId="Indent4">
    <w:name w:val="Indent 4"/>
    <w:basedOn w:val="Indent3"/>
    <w:rsid w:val="007501F2"/>
    <w:pPr>
      <w:ind w:left="1440"/>
      <w:contextualSpacing/>
    </w:pPr>
  </w:style>
  <w:style w:type="paragraph" w:customStyle="1" w:styleId="Style1">
    <w:name w:val="Style1"/>
    <w:basedOn w:val="Normal"/>
    <w:rsid w:val="00C379AA"/>
    <w:pPr>
      <w:tabs>
        <w:tab w:val="left" w:pos="900"/>
        <w:tab w:val="left" w:pos="2000"/>
      </w:tabs>
      <w:ind w:left="907" w:hanging="907"/>
    </w:pPr>
    <w:rPr>
      <w:color w:val="000000"/>
    </w:rPr>
  </w:style>
  <w:style w:type="paragraph" w:customStyle="1" w:styleId="Style2">
    <w:name w:val="Style2"/>
    <w:basedOn w:val="Normal"/>
    <w:rsid w:val="00C379AA"/>
  </w:style>
  <w:style w:type="paragraph" w:customStyle="1" w:styleId="71x">
    <w:name w:val="7.1.x."/>
    <w:basedOn w:val="Heading3"/>
    <w:next w:val="Normal"/>
    <w:rsid w:val="00C379AA"/>
    <w:pPr>
      <w:outlineLvl w:val="9"/>
    </w:pPr>
  </w:style>
  <w:style w:type="paragraph" w:customStyle="1" w:styleId="2x">
    <w:name w:val="2.x"/>
    <w:basedOn w:val="Heading2"/>
    <w:next w:val="Normal"/>
    <w:rsid w:val="00C379AA"/>
    <w:pPr>
      <w:outlineLvl w:val="9"/>
    </w:pPr>
    <w:rPr>
      <w:b w:val="0"/>
    </w:rPr>
  </w:style>
  <w:style w:type="paragraph" w:customStyle="1" w:styleId="72x">
    <w:name w:val="7.2.x."/>
    <w:basedOn w:val="71x"/>
    <w:next w:val="Normal"/>
    <w:rsid w:val="00C379AA"/>
  </w:style>
  <w:style w:type="paragraph" w:customStyle="1" w:styleId="81x">
    <w:name w:val="8.1.x."/>
    <w:basedOn w:val="71x"/>
    <w:next w:val="Normal"/>
    <w:rsid w:val="00C379AA"/>
    <w:pPr>
      <w:spacing w:before="0"/>
    </w:pPr>
  </w:style>
  <w:style w:type="paragraph" w:styleId="TOC4">
    <w:name w:val="toc 4"/>
    <w:basedOn w:val="Normal"/>
    <w:next w:val="Normal"/>
    <w:semiHidden/>
    <w:rsid w:val="00C379AA"/>
    <w:pPr>
      <w:tabs>
        <w:tab w:val="right" w:pos="9360"/>
      </w:tabs>
      <w:ind w:left="720"/>
    </w:pPr>
    <w:rPr>
      <w:sz w:val="20"/>
    </w:rPr>
  </w:style>
  <w:style w:type="paragraph" w:styleId="TOC5">
    <w:name w:val="toc 5"/>
    <w:basedOn w:val="Normal"/>
    <w:next w:val="Normal"/>
    <w:semiHidden/>
    <w:rsid w:val="00C379AA"/>
    <w:pPr>
      <w:tabs>
        <w:tab w:val="right" w:pos="9360"/>
      </w:tabs>
      <w:ind w:left="960"/>
    </w:pPr>
    <w:rPr>
      <w:sz w:val="20"/>
    </w:rPr>
  </w:style>
  <w:style w:type="paragraph" w:styleId="TOC6">
    <w:name w:val="toc 6"/>
    <w:basedOn w:val="Normal"/>
    <w:next w:val="Normal"/>
    <w:semiHidden/>
    <w:rsid w:val="00C379AA"/>
    <w:pPr>
      <w:tabs>
        <w:tab w:val="right" w:pos="9360"/>
      </w:tabs>
      <w:ind w:left="1200"/>
    </w:pPr>
    <w:rPr>
      <w:sz w:val="20"/>
    </w:rPr>
  </w:style>
  <w:style w:type="paragraph" w:styleId="TOC7">
    <w:name w:val="toc 7"/>
    <w:basedOn w:val="Normal"/>
    <w:next w:val="Normal"/>
    <w:semiHidden/>
    <w:rsid w:val="00C379AA"/>
    <w:pPr>
      <w:tabs>
        <w:tab w:val="right" w:pos="9360"/>
      </w:tabs>
      <w:ind w:left="1440"/>
    </w:pPr>
    <w:rPr>
      <w:sz w:val="20"/>
    </w:rPr>
  </w:style>
  <w:style w:type="paragraph" w:styleId="TOC8">
    <w:name w:val="toc 8"/>
    <w:basedOn w:val="Normal"/>
    <w:next w:val="Normal"/>
    <w:semiHidden/>
    <w:rsid w:val="00C379AA"/>
    <w:pPr>
      <w:tabs>
        <w:tab w:val="right" w:pos="9360"/>
      </w:tabs>
      <w:ind w:left="1680"/>
    </w:pPr>
    <w:rPr>
      <w:sz w:val="20"/>
    </w:rPr>
  </w:style>
  <w:style w:type="paragraph" w:styleId="TOC9">
    <w:name w:val="toc 9"/>
    <w:basedOn w:val="Normal"/>
    <w:next w:val="Normal"/>
    <w:semiHidden/>
    <w:rsid w:val="00C379AA"/>
    <w:pPr>
      <w:tabs>
        <w:tab w:val="right" w:pos="9360"/>
      </w:tabs>
      <w:ind w:left="1920"/>
    </w:pPr>
    <w:rPr>
      <w:sz w:val="20"/>
    </w:rPr>
  </w:style>
  <w:style w:type="paragraph" w:customStyle="1" w:styleId="74x">
    <w:name w:val="7.4.x."/>
    <w:basedOn w:val="71x"/>
    <w:rsid w:val="00C379AA"/>
  </w:style>
  <w:style w:type="paragraph" w:customStyle="1" w:styleId="Style3">
    <w:name w:val="Style3"/>
    <w:basedOn w:val="2x"/>
  </w:style>
  <w:style w:type="character" w:styleId="PageNumber">
    <w:name w:val="page number"/>
    <w:basedOn w:val="DefaultParagraphFont"/>
  </w:style>
  <w:style w:type="paragraph" w:customStyle="1" w:styleId="3x">
    <w:name w:val="3.x"/>
    <w:basedOn w:val="2x"/>
  </w:style>
  <w:style w:type="paragraph" w:styleId="BodyTextIndent">
    <w:name w:val="Body Text Indent"/>
    <w:basedOn w:val="Normal"/>
    <w:pPr>
      <w:tabs>
        <w:tab w:val="left" w:pos="-1440"/>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50"/>
    </w:pPr>
  </w:style>
  <w:style w:type="paragraph" w:customStyle="1" w:styleId="81x0">
    <w:name w:val="8.1.x"/>
    <w:basedOn w:val="Normal"/>
    <w:pPr>
      <w:spacing w:before="120"/>
      <w:ind w:left="1440" w:hanging="720"/>
    </w:pPr>
  </w:style>
  <w:style w:type="paragraph" w:customStyle="1" w:styleId="61x">
    <w:name w:val="6.1.x"/>
    <w:basedOn w:val="71x"/>
    <w:pPr>
      <w:numPr>
        <w:ilvl w:val="0"/>
        <w:numId w:val="2"/>
      </w:numPr>
    </w:pPr>
  </w:style>
  <w:style w:type="paragraph" w:styleId="BodyTextIndent2">
    <w:name w:val="Body Text Indent 2"/>
    <w:basedOn w:val="Normal"/>
    <w:pPr>
      <w:tabs>
        <w:tab w:val="left" w:pos="-1440"/>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style>
  <w:style w:type="paragraph" w:styleId="BodyTextIndent3">
    <w:name w:val="Body Text Indent 3"/>
    <w:basedOn w:val="Normal"/>
    <w:pPr>
      <w:tabs>
        <w:tab w:val="left" w:pos="-1080"/>
        <w:tab w:val="left" w:pos="-720"/>
        <w:tab w:val="left" w:pos="0"/>
        <w:tab w:val="left" w:pos="360"/>
        <w:tab w:val="left" w:pos="720"/>
        <w:tab w:val="left" w:pos="990"/>
        <w:tab w:val="left" w:pos="1440"/>
        <w:tab w:val="left" w:pos="1890"/>
        <w:tab w:val="left" w:pos="2880"/>
        <w:tab w:val="right" w:leader="dot" w:pos="9360"/>
      </w:tabs>
      <w:ind w:left="2160"/>
    </w:pPr>
  </w:style>
  <w:style w:type="character" w:styleId="CommentReference">
    <w:name w:val="annotation reference"/>
    <w:semiHidden/>
    <w:rPr>
      <w:sz w:val="16"/>
    </w:rPr>
  </w:style>
  <w:style w:type="paragraph" w:customStyle="1" w:styleId="1x">
    <w:name w:val="1.x"/>
    <w:basedOn w:val="2x"/>
    <w:rsid w:val="00BC3DB9"/>
    <w:pPr>
      <w:numPr>
        <w:ilvl w:val="0"/>
        <w:numId w:val="3"/>
      </w:numPr>
    </w:pPr>
  </w:style>
  <w:style w:type="paragraph" w:styleId="CommentText">
    <w:name w:val="annotation text"/>
    <w:basedOn w:val="Normal"/>
    <w:semiHidden/>
    <w:rPr>
      <w:sz w:val="20"/>
    </w:rPr>
  </w:style>
  <w:style w:type="paragraph" w:customStyle="1" w:styleId="Body">
    <w:name w:val="Body"/>
    <w:basedOn w:val="Normal"/>
    <w:pPr>
      <w:tabs>
        <w:tab w:val="left" w:pos="0"/>
        <w:tab w:val="num" w:pos="504"/>
        <w:tab w:val="left" w:pos="792"/>
        <w:tab w:val="left" w:pos="1440"/>
        <w:tab w:val="left" w:pos="2160"/>
        <w:tab w:val="left" w:pos="2880"/>
        <w:tab w:val="left" w:pos="3600"/>
        <w:tab w:val="center" w:pos="4320"/>
        <w:tab w:val="left" w:pos="5040"/>
        <w:tab w:val="left" w:pos="5760"/>
        <w:tab w:val="left" w:pos="6480"/>
        <w:tab w:val="left" w:pos="7200"/>
        <w:tab w:val="left" w:pos="7920"/>
        <w:tab w:val="left" w:pos="8640"/>
      </w:tabs>
      <w:suppressAutoHyphens/>
      <w:spacing w:line="360" w:lineRule="auto"/>
      <w:ind w:left="432" w:right="432"/>
    </w:pPr>
    <w:rPr>
      <w:spacing w:val="-3"/>
      <w:sz w:val="26"/>
    </w:rPr>
  </w:style>
  <w:style w:type="paragraph" w:customStyle="1" w:styleId="bodytext6">
    <w:name w:val="body text 6"/>
    <w:basedOn w:val="Normal"/>
    <w:pPr>
      <w:tabs>
        <w:tab w:val="num" w:pos="360"/>
        <w:tab w:val="left" w:pos="792"/>
        <w:tab w:val="left" w:pos="1440"/>
        <w:tab w:val="left" w:pos="2160"/>
        <w:tab w:val="left" w:pos="2880"/>
        <w:tab w:val="left" w:pos="3600"/>
        <w:tab w:val="center" w:pos="4320"/>
        <w:tab w:val="left" w:pos="5040"/>
        <w:tab w:val="left" w:pos="5760"/>
        <w:tab w:val="left" w:pos="6480"/>
        <w:tab w:val="left" w:pos="7200"/>
        <w:tab w:val="left" w:pos="7920"/>
        <w:tab w:val="left" w:pos="8640"/>
      </w:tabs>
      <w:suppressAutoHyphens/>
      <w:spacing w:line="360" w:lineRule="auto"/>
      <w:ind w:left="720" w:right="288"/>
    </w:pPr>
    <w:rPr>
      <w:spacing w:val="-3"/>
      <w:sz w:val="26"/>
    </w:rPr>
  </w:style>
  <w:style w:type="paragraph" w:styleId="CommentSubject">
    <w:name w:val="annotation subject"/>
    <w:basedOn w:val="CommentText"/>
    <w:next w:val="CommentText"/>
    <w:semiHidden/>
    <w:rsid w:val="00BE1D70"/>
    <w:rPr>
      <w:b/>
      <w:bCs/>
    </w:rPr>
  </w:style>
  <w:style w:type="paragraph" w:styleId="BalloonText">
    <w:name w:val="Balloon Text"/>
    <w:basedOn w:val="Normal"/>
    <w:semiHidden/>
    <w:rsid w:val="00BE1D70"/>
    <w:rPr>
      <w:rFonts w:ascii="Tahoma" w:hAnsi="Tahoma" w:cs="Tahoma"/>
      <w:sz w:val="16"/>
      <w:szCs w:val="16"/>
    </w:rPr>
  </w:style>
  <w:style w:type="paragraph" w:customStyle="1" w:styleId="StyleTOC1After6pt">
    <w:name w:val="Style TOC 1 + After:  6 pt"/>
    <w:basedOn w:val="TOC1"/>
    <w:autoRedefine/>
    <w:rsid w:val="00BC6294"/>
    <w:pPr>
      <w:spacing w:after="120"/>
    </w:pPr>
    <w:rPr>
      <w:caps w:val="0"/>
    </w:rPr>
  </w:style>
  <w:style w:type="paragraph" w:customStyle="1" w:styleId="BulletsHeading1">
    <w:name w:val="Bullets Heading 1"/>
    <w:basedOn w:val="Normal"/>
    <w:rsid w:val="004F00BB"/>
    <w:pPr>
      <w:numPr>
        <w:numId w:val="4"/>
      </w:numPr>
    </w:pPr>
  </w:style>
  <w:style w:type="character" w:styleId="Hyperlink">
    <w:name w:val="Hyperlink"/>
    <w:rsid w:val="007F0722"/>
    <w:rPr>
      <w:color w:val="0000FF"/>
      <w:u w:val="single"/>
    </w:rPr>
  </w:style>
  <w:style w:type="character" w:styleId="FollowedHyperlink">
    <w:name w:val="FollowedHyperlink"/>
    <w:rsid w:val="007F0722"/>
    <w:rPr>
      <w:color w:val="606420"/>
      <w:u w:val="single"/>
    </w:rPr>
  </w:style>
  <w:style w:type="paragraph" w:styleId="NormalWeb">
    <w:name w:val="Normal (Web)"/>
    <w:basedOn w:val="Normal"/>
    <w:rsid w:val="009921F7"/>
    <w:pPr>
      <w:spacing w:before="100" w:beforeAutospacing="1" w:after="100" w:afterAutospacing="1"/>
    </w:pPr>
  </w:style>
  <w:style w:type="paragraph" w:customStyle="1" w:styleId="StyleTOC1Left0Firstline0">
    <w:name w:val="Style TOC 1 + Left:  0&quot; First line:  0&quot;"/>
    <w:basedOn w:val="TOC1"/>
    <w:rsid w:val="00E83BD7"/>
    <w:rPr>
      <w:szCs w:val="20"/>
    </w:rPr>
  </w:style>
  <w:style w:type="paragraph" w:customStyle="1" w:styleId="Style8">
    <w:name w:val="Style8"/>
    <w:basedOn w:val="Indent1"/>
    <w:rsid w:val="00C379AA"/>
    <w:rPr>
      <w:snapToGrid w:val="0"/>
    </w:rPr>
  </w:style>
  <w:style w:type="paragraph" w:styleId="ListNumber2">
    <w:name w:val="List Number 2"/>
    <w:basedOn w:val="Normal"/>
    <w:rsid w:val="00BC3DB9"/>
    <w:pPr>
      <w:numPr>
        <w:numId w:val="8"/>
      </w:numPr>
      <w:spacing w:before="120"/>
      <w:contextualSpacing/>
    </w:pPr>
  </w:style>
  <w:style w:type="paragraph" w:styleId="ListNumber3">
    <w:name w:val="List Number 3"/>
    <w:basedOn w:val="Normal"/>
    <w:rsid w:val="007501F2"/>
    <w:pPr>
      <w:numPr>
        <w:numId w:val="7"/>
      </w:numPr>
      <w:spacing w:before="120"/>
      <w:contextualSpacing/>
    </w:pPr>
  </w:style>
  <w:style w:type="paragraph" w:styleId="ListNumber">
    <w:name w:val="List Number"/>
    <w:basedOn w:val="Normal"/>
    <w:rsid w:val="00EB551F"/>
    <w:pPr>
      <w:numPr>
        <w:numId w:val="5"/>
      </w:numPr>
    </w:pPr>
  </w:style>
  <w:style w:type="character" w:customStyle="1" w:styleId="Indent2Char">
    <w:name w:val="Indent 2 Char"/>
    <w:link w:val="Indent2"/>
    <w:rsid w:val="00BC3DB9"/>
    <w:rPr>
      <w:sz w:val="24"/>
      <w:lang w:val="en-GB" w:eastAsia="en-CA" w:bidi="ar-SA"/>
    </w:rPr>
  </w:style>
  <w:style w:type="paragraph" w:customStyle="1" w:styleId="a">
    <w:basedOn w:val="Normal"/>
    <w:rsid w:val="00C90581"/>
    <w:pPr>
      <w:spacing w:line="240" w:lineRule="exact"/>
    </w:pPr>
    <w:rPr>
      <w:rFonts w:ascii="Verdana" w:hAnsi="Verdana"/>
      <w:sz w:val="20"/>
    </w:rPr>
  </w:style>
  <w:style w:type="character" w:customStyle="1" w:styleId="Indent2CharChar">
    <w:name w:val="Indent 2 Char Char"/>
    <w:rsid w:val="00B768C2"/>
    <w:rPr>
      <w:sz w:val="24"/>
      <w:lang w:val="en-GB" w:eastAsia="en-CA" w:bidi="ar-SA"/>
    </w:rPr>
  </w:style>
  <w:style w:type="paragraph" w:customStyle="1" w:styleId="CharCharCharCharChar">
    <w:name w:val="Char Char Char Char Char"/>
    <w:basedOn w:val="Normal"/>
    <w:rsid w:val="00024082"/>
    <w:pPr>
      <w:spacing w:line="240" w:lineRule="exact"/>
    </w:pPr>
    <w:rPr>
      <w:rFonts w:ascii="Verdana" w:hAnsi="Verdana"/>
      <w:sz w:val="20"/>
    </w:rPr>
  </w:style>
  <w:style w:type="table" w:styleId="TableGrid">
    <w:name w:val="Table Grid"/>
    <w:basedOn w:val="TableNormal"/>
    <w:rsid w:val="00153E4C"/>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next w:val="NoSpacing"/>
    <w:uiPriority w:val="34"/>
    <w:qFormat/>
    <w:rsid w:val="007A1248"/>
    <w:pPr>
      <w:ind w:left="720"/>
    </w:pPr>
    <w:rPr>
      <w:rFonts w:ascii="Arial" w:eastAsiaTheme="minorHAnsi" w:hAnsi="Arial" w:cs="Calibri"/>
      <w:sz w:val="24"/>
      <w:szCs w:val="22"/>
    </w:rPr>
  </w:style>
  <w:style w:type="paragraph" w:customStyle="1" w:styleId="Char">
    <w:name w:val="Char"/>
    <w:basedOn w:val="Normal"/>
    <w:rsid w:val="00D22640"/>
    <w:pPr>
      <w:spacing w:line="240" w:lineRule="exact"/>
    </w:pPr>
    <w:rPr>
      <w:rFonts w:ascii="Verdana" w:hAnsi="Verdana"/>
      <w:sz w:val="20"/>
    </w:rPr>
  </w:style>
  <w:style w:type="paragraph" w:styleId="NoSpacing">
    <w:name w:val="No Spacing"/>
    <w:uiPriority w:val="1"/>
    <w:qFormat/>
    <w:rsid w:val="007A1248"/>
    <w:rPr>
      <w:rFonts w:ascii="Arial" w:eastAsiaTheme="minorHAnsi" w:hAnsi="Arial" w:cstheme="minorBidi"/>
      <w:sz w:val="24"/>
      <w:szCs w:val="22"/>
      <w:lang w:val="en-US" w:eastAsia="en-US"/>
    </w:rPr>
  </w:style>
  <w:style w:type="character" w:customStyle="1" w:styleId="Heading1Char">
    <w:name w:val="Heading 1 Char"/>
    <w:basedOn w:val="DefaultParagraphFont"/>
    <w:link w:val="Heading1"/>
    <w:rsid w:val="00A2513E"/>
    <w:rPr>
      <w:rFonts w:eastAsiaTheme="minorHAnsi" w:cstheme="minorBidi"/>
      <w:b/>
      <w:caps/>
      <w:sz w:val="24"/>
      <w:szCs w:val="22"/>
      <w:lang w:eastAsia="en-US"/>
    </w:rPr>
  </w:style>
  <w:style w:type="character" w:customStyle="1" w:styleId="Heading2Char">
    <w:name w:val="Heading 2 Char"/>
    <w:basedOn w:val="DefaultParagraphFont"/>
    <w:link w:val="Heading2"/>
    <w:rsid w:val="00A2513E"/>
    <w:rPr>
      <w:rFonts w:eastAsiaTheme="minorHAnsi" w:cstheme="minorBidi"/>
      <w:b/>
      <w:sz w:val="24"/>
      <w:szCs w:val="22"/>
      <w:lang w:eastAsia="en-US"/>
    </w:rPr>
  </w:style>
  <w:style w:type="character" w:customStyle="1" w:styleId="Heading3Char">
    <w:name w:val="Heading 3 Char"/>
    <w:basedOn w:val="DefaultParagraphFont"/>
    <w:link w:val="Heading3"/>
    <w:rsid w:val="00A2513E"/>
    <w:rPr>
      <w:rFonts w:eastAsiaTheme="minorHAnsi" w:cstheme="minorBidi"/>
      <w:sz w:val="24"/>
      <w:szCs w:val="22"/>
      <w:lang w:eastAsia="en-US"/>
    </w:rPr>
  </w:style>
  <w:style w:type="character" w:customStyle="1" w:styleId="Heading4Char">
    <w:name w:val="Heading 4 Char"/>
    <w:basedOn w:val="DefaultParagraphFont"/>
    <w:link w:val="Heading4"/>
    <w:rsid w:val="00A2513E"/>
    <w:rPr>
      <w:rFonts w:eastAsiaTheme="minorHAnsi" w:cstheme="minorBidi"/>
      <w:sz w:val="24"/>
      <w:szCs w:val="22"/>
      <w:lang w:eastAsia="en-US"/>
    </w:rPr>
  </w:style>
  <w:style w:type="character" w:customStyle="1" w:styleId="Heading5Char">
    <w:name w:val="Heading 5 Char"/>
    <w:basedOn w:val="DefaultParagraphFont"/>
    <w:link w:val="Heading5"/>
    <w:rsid w:val="00A2513E"/>
    <w:rPr>
      <w:rFonts w:eastAsiaTheme="minorHAnsi" w:cstheme="minorBidi"/>
      <w:sz w:val="24"/>
      <w:szCs w:val="22"/>
      <w:lang w:eastAsia="en-US"/>
    </w:rPr>
  </w:style>
  <w:style w:type="character" w:customStyle="1" w:styleId="Heading6Char">
    <w:name w:val="Heading 6 Char"/>
    <w:basedOn w:val="DefaultParagraphFont"/>
    <w:link w:val="Heading6"/>
    <w:rsid w:val="00A2513E"/>
    <w:rPr>
      <w:rFonts w:eastAsiaTheme="minorHAnsi" w:cstheme="minorBidi"/>
      <w:i/>
      <w:sz w:val="24"/>
      <w:szCs w:val="22"/>
      <w:lang w:eastAsia="en-US"/>
    </w:rPr>
  </w:style>
  <w:style w:type="character" w:customStyle="1" w:styleId="Heading7Char">
    <w:name w:val="Heading 7 Char"/>
    <w:basedOn w:val="DefaultParagraphFont"/>
    <w:link w:val="Heading7"/>
    <w:rsid w:val="00A2513E"/>
    <w:rPr>
      <w:rFonts w:eastAsiaTheme="minorHAnsi" w:cstheme="minorBidi"/>
      <w:szCs w:val="22"/>
      <w:lang w:eastAsia="en-US"/>
    </w:rPr>
  </w:style>
  <w:style w:type="character" w:customStyle="1" w:styleId="Heading8Char">
    <w:name w:val="Heading 8 Char"/>
    <w:basedOn w:val="DefaultParagraphFont"/>
    <w:link w:val="Heading8"/>
    <w:rsid w:val="00A2513E"/>
    <w:rPr>
      <w:rFonts w:eastAsiaTheme="minorHAnsi" w:cstheme="minorBidi"/>
      <w:i/>
      <w:szCs w:val="22"/>
      <w:lang w:eastAsia="en-US"/>
    </w:rPr>
  </w:style>
  <w:style w:type="character" w:customStyle="1" w:styleId="Heading9Char">
    <w:name w:val="Heading 9 Char"/>
    <w:basedOn w:val="DefaultParagraphFont"/>
    <w:link w:val="Heading9"/>
    <w:rsid w:val="00A2513E"/>
    <w:rPr>
      <w:rFonts w:eastAsiaTheme="minorHAnsi" w:cstheme="minorBidi"/>
      <w:i/>
      <w:sz w:val="18"/>
      <w:szCs w:val="22"/>
      <w:lang w:eastAsia="en-US"/>
    </w:rPr>
  </w:style>
  <w:style w:type="character" w:customStyle="1" w:styleId="BodyTextChar">
    <w:name w:val="Body Text Char"/>
    <w:link w:val="BodyText"/>
    <w:rsid w:val="009B637D"/>
    <w:rPr>
      <w:rFonts w:eastAsiaTheme="minorHAnsi" w:cstheme="minorBidi"/>
      <w:sz w:val="24"/>
      <w:szCs w:val="22"/>
      <w:lang w:eastAsia="en-US"/>
    </w:rPr>
  </w:style>
  <w:style w:type="paragraph" w:styleId="Revision">
    <w:name w:val="Revision"/>
    <w:hidden/>
    <w:uiPriority w:val="99"/>
    <w:semiHidden/>
    <w:rsid w:val="0057592E"/>
    <w:rPr>
      <w:rFonts w:eastAsiaTheme="minorHAnsi"/>
      <w:sz w:val="24"/>
      <w:szCs w:val="24"/>
      <w:lang w:val="en-US" w:eastAsia="en-US"/>
    </w:rPr>
  </w:style>
  <w:style w:type="character" w:styleId="UnresolvedMention">
    <w:name w:val="Unresolved Mention"/>
    <w:basedOn w:val="DefaultParagraphFont"/>
    <w:uiPriority w:val="99"/>
    <w:semiHidden/>
    <w:unhideWhenUsed/>
    <w:rsid w:val="008F4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3928">
      <w:bodyDiv w:val="1"/>
      <w:marLeft w:val="0"/>
      <w:marRight w:val="0"/>
      <w:marTop w:val="0"/>
      <w:marBottom w:val="0"/>
      <w:divBdr>
        <w:top w:val="none" w:sz="0" w:space="0" w:color="auto"/>
        <w:left w:val="none" w:sz="0" w:space="0" w:color="auto"/>
        <w:bottom w:val="none" w:sz="0" w:space="0" w:color="auto"/>
        <w:right w:val="none" w:sz="0" w:space="0" w:color="auto"/>
      </w:divBdr>
    </w:div>
    <w:div w:id="62215073">
      <w:bodyDiv w:val="1"/>
      <w:marLeft w:val="0"/>
      <w:marRight w:val="0"/>
      <w:marTop w:val="0"/>
      <w:marBottom w:val="0"/>
      <w:divBdr>
        <w:top w:val="none" w:sz="0" w:space="0" w:color="auto"/>
        <w:left w:val="none" w:sz="0" w:space="0" w:color="auto"/>
        <w:bottom w:val="none" w:sz="0" w:space="0" w:color="auto"/>
        <w:right w:val="none" w:sz="0" w:space="0" w:color="auto"/>
      </w:divBdr>
    </w:div>
    <w:div w:id="149179351">
      <w:bodyDiv w:val="1"/>
      <w:marLeft w:val="0"/>
      <w:marRight w:val="0"/>
      <w:marTop w:val="0"/>
      <w:marBottom w:val="0"/>
      <w:divBdr>
        <w:top w:val="none" w:sz="0" w:space="0" w:color="auto"/>
        <w:left w:val="none" w:sz="0" w:space="0" w:color="auto"/>
        <w:bottom w:val="none" w:sz="0" w:space="0" w:color="auto"/>
        <w:right w:val="none" w:sz="0" w:space="0" w:color="auto"/>
      </w:divBdr>
    </w:div>
    <w:div w:id="1059287512">
      <w:bodyDiv w:val="1"/>
      <w:marLeft w:val="0"/>
      <w:marRight w:val="0"/>
      <w:marTop w:val="0"/>
      <w:marBottom w:val="0"/>
      <w:divBdr>
        <w:top w:val="none" w:sz="0" w:space="0" w:color="auto"/>
        <w:left w:val="none" w:sz="0" w:space="0" w:color="auto"/>
        <w:bottom w:val="none" w:sz="0" w:space="0" w:color="auto"/>
        <w:right w:val="none" w:sz="0" w:space="0" w:color="auto"/>
      </w:divBdr>
    </w:div>
    <w:div w:id="1209802791">
      <w:bodyDiv w:val="1"/>
      <w:marLeft w:val="0"/>
      <w:marRight w:val="0"/>
      <w:marTop w:val="0"/>
      <w:marBottom w:val="0"/>
      <w:divBdr>
        <w:top w:val="none" w:sz="0" w:space="0" w:color="auto"/>
        <w:left w:val="none" w:sz="0" w:space="0" w:color="auto"/>
        <w:bottom w:val="none" w:sz="0" w:space="0" w:color="auto"/>
        <w:right w:val="none" w:sz="0" w:space="0" w:color="auto"/>
      </w:divBdr>
    </w:div>
    <w:div w:id="1638215799">
      <w:bodyDiv w:val="1"/>
      <w:marLeft w:val="0"/>
      <w:marRight w:val="0"/>
      <w:marTop w:val="0"/>
      <w:marBottom w:val="0"/>
      <w:divBdr>
        <w:top w:val="none" w:sz="0" w:space="0" w:color="auto"/>
        <w:left w:val="none" w:sz="0" w:space="0" w:color="auto"/>
        <w:bottom w:val="none" w:sz="0" w:space="0" w:color="auto"/>
        <w:right w:val="none" w:sz="0" w:space="0" w:color="auto"/>
      </w:divBdr>
    </w:div>
    <w:div w:id="209716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o-mpo.gc.ca/fm-gp/sdc-cps/licence-permis-eng.htm" TargetMode="External"/><Relationship Id="rId13" Type="http://schemas.openxmlformats.org/officeDocument/2006/relationships/hyperlink" Target="http://www.dfo-mpo.gc.ca/fisheries-peches/sdc-cps/products-produits/request-demande-eng.html" TargetMode="External"/><Relationship Id="rId18" Type="http://schemas.openxmlformats.org/officeDocument/2006/relationships/hyperlink" Target="https://inspection.canada.ca/food-safety-for-industry/toolkit-for-food-businesses/sfcr-handbook-for-food-businesses/eng/1481560206153/1481560532540?chap=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pac.dfo-mpo.gc.ca/fm-gp/licence-permis/index-eng.html" TargetMode="External"/><Relationship Id="rId17" Type="http://schemas.openxmlformats.org/officeDocument/2006/relationships/hyperlink" Target="https://inspection.canada.ca/food-safety-for-industry/toolkit-for-food-businesses/sfcr-handbook-for-food-businesses/eng/1481560206153/1481560532540?chap=0"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pac.dfo-mpo.gc.ca/fm-gp/licence-permis/fees-frais-22-23-eng.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fo-mpo.gc.ca/fm-gp/sdc-cps/licence-permis-eng.ht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2.gov.bc.ca/gov/content/industry/agriculture-seafood/fisheries-and-aquaculture/seafood-industry-licensing" TargetMode="External"/><Relationship Id="rId23" Type="http://schemas.openxmlformats.org/officeDocument/2006/relationships/footer" Target="footer2.xml"/><Relationship Id="rId10" Type="http://schemas.openxmlformats.org/officeDocument/2006/relationships/hyperlink" Target="mailto:fishing-peche@dfo-mpo.gc.ca" TargetMode="External"/><Relationship Id="rId19" Type="http://schemas.openxmlformats.org/officeDocument/2006/relationships/hyperlink" Target="http://www.worksafebc.com" TargetMode="External"/><Relationship Id="rId4" Type="http://schemas.openxmlformats.org/officeDocument/2006/relationships/settings" Target="settings.xml"/><Relationship Id="rId9" Type="http://schemas.openxmlformats.org/officeDocument/2006/relationships/hyperlink" Target="http://www.dfo-mpo.gc.ca/FM-GP/SDC-CPS/licence-permis-eng.htm" TargetMode="External"/><Relationship Id="rId14" Type="http://schemas.openxmlformats.org/officeDocument/2006/relationships/hyperlink" Target="https://www.dfo-mpo.gc.ca/fisheries-peches/sdc-cps/products-produits/request-demande-eng.htm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EDE2B-E84E-44A2-9F99-9606F64F7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4420</TotalTime>
  <Pages>30</Pages>
  <Words>11058</Words>
  <Characters>61878</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PACIFIC REGION</vt:lpstr>
    </vt:vector>
  </TitlesOfParts>
  <Company>DFO</Company>
  <LinksUpToDate>false</LinksUpToDate>
  <CharactersWithSpaces>72791</CharactersWithSpaces>
  <SharedDoc>false</SharedDoc>
  <HLinks>
    <vt:vector size="30" baseType="variant">
      <vt:variant>
        <vt:i4>3604541</vt:i4>
      </vt:variant>
      <vt:variant>
        <vt:i4>138</vt:i4>
      </vt:variant>
      <vt:variant>
        <vt:i4>0</vt:i4>
      </vt:variant>
      <vt:variant>
        <vt:i4>5</vt:i4>
      </vt:variant>
      <vt:variant>
        <vt:lpwstr>http://www.worksafebc.com/</vt:lpwstr>
      </vt:variant>
      <vt:variant>
        <vt:lpwstr/>
      </vt:variant>
      <vt:variant>
        <vt:i4>5046350</vt:i4>
      </vt:variant>
      <vt:variant>
        <vt:i4>135</vt:i4>
      </vt:variant>
      <vt:variant>
        <vt:i4>0</vt:i4>
      </vt:variant>
      <vt:variant>
        <vt:i4>5</vt:i4>
      </vt:variant>
      <vt:variant>
        <vt:lpwstr>http://www.inspection.gc.ca/english/fssa/fispoi/export/coupaye.shtml</vt:lpwstr>
      </vt:variant>
      <vt:variant>
        <vt:lpwstr/>
      </vt:variant>
      <vt:variant>
        <vt:i4>1835083</vt:i4>
      </vt:variant>
      <vt:variant>
        <vt:i4>132</vt:i4>
      </vt:variant>
      <vt:variant>
        <vt:i4>0</vt:i4>
      </vt:variant>
      <vt:variant>
        <vt:i4>5</vt:i4>
      </vt:variant>
      <vt:variant>
        <vt:lpwstr>http://www.pac.dfo-mpo.gc.ca/fm-gp/licence-permis/index-eng.html</vt:lpwstr>
      </vt:variant>
      <vt:variant>
        <vt:lpwstr/>
      </vt:variant>
      <vt:variant>
        <vt:i4>1835083</vt:i4>
      </vt:variant>
      <vt:variant>
        <vt:i4>129</vt:i4>
      </vt:variant>
      <vt:variant>
        <vt:i4>0</vt:i4>
      </vt:variant>
      <vt:variant>
        <vt:i4>5</vt:i4>
      </vt:variant>
      <vt:variant>
        <vt:lpwstr>http://www.pac.dfo-mpo.gc.ca/fm-gp/licence-permis/index-eng.html</vt:lpwstr>
      </vt:variant>
      <vt:variant>
        <vt:lpwstr/>
      </vt:variant>
      <vt:variant>
        <vt:i4>4653066</vt:i4>
      </vt:variant>
      <vt:variant>
        <vt:i4>126</vt:i4>
      </vt:variant>
      <vt:variant>
        <vt:i4>0</vt:i4>
      </vt:variant>
      <vt:variant>
        <vt:i4>5</vt:i4>
      </vt:variant>
      <vt:variant>
        <vt:lpwstr>http://www.dfo-mpo.gc.ca/fm-gp/sdc-cps/licence-permis-eng.htm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REGION</dc:title>
  <dc:creator>Pauline Ridings</dc:creator>
  <cp:lastModifiedBy>Ridings, Pauline</cp:lastModifiedBy>
  <cp:revision>34</cp:revision>
  <cp:lastPrinted>2021-08-16T23:03:00Z</cp:lastPrinted>
  <dcterms:created xsi:type="dcterms:W3CDTF">2020-08-06T17:28:00Z</dcterms:created>
  <dcterms:modified xsi:type="dcterms:W3CDTF">2022-08-12T18:40:00Z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2020-07-07T17:22:57Z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2808a890-d842-463d-80ec-000087b21d60</vt:lpwstr>
  </property>
</Properties>
</file>